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Project Plan and Date"/>
      </w:tblPr>
      <w:tblGrid>
        <w:gridCol w:w="4675"/>
        <w:gridCol w:w="4675"/>
      </w:tblGrid>
      <w:tr w:rsidR="007A221D" w14:paraId="6CAD1490" w14:textId="77777777" w:rsidTr="00D52489">
        <w:trPr>
          <w:tblHeader/>
        </w:trPr>
        <w:tc>
          <w:tcPr>
            <w:tcW w:w="4675" w:type="dxa"/>
          </w:tcPr>
          <w:p w14:paraId="06A1B890" w14:textId="77777777" w:rsidR="007A221D" w:rsidRPr="0043628E" w:rsidRDefault="0079346B" w:rsidP="0043628E">
            <w:pPr>
              <w:ind w:left="-108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GeoTASC</w:t>
            </w:r>
            <w:r w:rsidR="007A221D" w:rsidRPr="0043628E">
              <w:rPr>
                <w:b/>
              </w:rPr>
              <w:t xml:space="preserve"> Project Plan</w:t>
            </w:r>
          </w:p>
        </w:tc>
        <w:tc>
          <w:tcPr>
            <w:tcW w:w="4675" w:type="dxa"/>
          </w:tcPr>
          <w:p w14:paraId="0532106F" w14:textId="23904321" w:rsidR="007A221D" w:rsidRDefault="005B3775" w:rsidP="004D0802">
            <w:pPr>
              <w:jc w:val="right"/>
            </w:pPr>
            <w:r>
              <w:t>March</w:t>
            </w:r>
            <w:r w:rsidR="0031454D">
              <w:t xml:space="preserve"> </w:t>
            </w:r>
            <w:r w:rsidR="004D0802">
              <w:t>12</w:t>
            </w:r>
            <w:r w:rsidR="006B69BC">
              <w:t>, 2018</w:t>
            </w:r>
          </w:p>
        </w:tc>
      </w:tr>
    </w:tbl>
    <w:p w14:paraId="46FAD8E4" w14:textId="77777777" w:rsidR="005228AC" w:rsidRDefault="006B69BC" w:rsidP="005A72A1">
      <w:pPr>
        <w:pStyle w:val="Heading1"/>
      </w:pPr>
      <w:r>
        <w:t>Development of a Batch Update Workflow for NHD</w:t>
      </w:r>
    </w:p>
    <w:tbl>
      <w:tblPr>
        <w:tblpPr w:leftFromText="180" w:rightFromText="180" w:vertAnchor="text" w:horzAnchor="margin" w:tblpY="521"/>
        <w:tblW w:w="9558" w:type="dxa"/>
        <w:tblLook w:val="0000" w:firstRow="0" w:lastRow="0" w:firstColumn="0" w:lastColumn="0" w:noHBand="0" w:noVBand="0"/>
        <w:tblCaption w:val="Contacts"/>
        <w:tblDescription w:val="Contacts"/>
      </w:tblPr>
      <w:tblGrid>
        <w:gridCol w:w="4945"/>
        <w:gridCol w:w="4613"/>
      </w:tblGrid>
      <w:tr w:rsidR="002E4C31" w:rsidRPr="00472BB5" w14:paraId="59492F90" w14:textId="77777777" w:rsidTr="00654CE1">
        <w:trPr>
          <w:cantSplit/>
          <w:tblHeader/>
        </w:trPr>
        <w:tc>
          <w:tcPr>
            <w:tcW w:w="4945" w:type="dxa"/>
            <w:tcMar>
              <w:top w:w="0" w:type="dxa"/>
              <w:left w:w="115" w:type="dxa"/>
              <w:right w:w="115" w:type="dxa"/>
            </w:tcMar>
          </w:tcPr>
          <w:p w14:paraId="3532B884" w14:textId="77777777" w:rsidR="002E4C31" w:rsidRPr="00B1601E" w:rsidRDefault="002E4C31" w:rsidP="002E4C31">
            <w:pPr>
              <w:pStyle w:val="NoSpacing"/>
              <w:ind w:left="-115"/>
              <w:rPr>
                <w:rStyle w:val="Strong"/>
              </w:rPr>
            </w:pPr>
            <w:r>
              <w:rPr>
                <w:rStyle w:val="Strong"/>
              </w:rPr>
              <w:t>USFS Geospatial Technology and Applications Center</w:t>
            </w:r>
          </w:p>
          <w:p w14:paraId="75DD772B" w14:textId="77777777" w:rsidR="002E4C31" w:rsidRPr="00472BB5" w:rsidRDefault="002E4C31" w:rsidP="002E4C31">
            <w:pPr>
              <w:pStyle w:val="NoSpacing"/>
              <w:ind w:left="-115"/>
              <w:rPr>
                <w:rFonts w:eastAsia="Times New Roman"/>
              </w:rPr>
            </w:pPr>
            <w:r w:rsidRPr="00472BB5">
              <w:rPr>
                <w:rFonts w:eastAsia="Times New Roman"/>
              </w:rPr>
              <w:t>2222 West 2300 South</w:t>
            </w:r>
          </w:p>
          <w:p w14:paraId="4C3196F2" w14:textId="77777777" w:rsidR="002E4C31" w:rsidRPr="00472BB5" w:rsidRDefault="002E4C31" w:rsidP="002E4C31">
            <w:pPr>
              <w:pStyle w:val="NoSpacing"/>
              <w:ind w:left="-115"/>
              <w:rPr>
                <w:rFonts w:eastAsia="Times New Roman"/>
                <w:lang w:val="sv-SE"/>
              </w:rPr>
            </w:pPr>
            <w:r w:rsidRPr="00472BB5">
              <w:rPr>
                <w:rFonts w:eastAsia="Times New Roman"/>
                <w:lang w:val="sv-SE"/>
              </w:rPr>
              <w:t>Salt Lake City, U</w:t>
            </w:r>
            <w:r>
              <w:rPr>
                <w:rFonts w:eastAsia="Times New Roman"/>
                <w:lang w:val="sv-SE"/>
              </w:rPr>
              <w:t>tah</w:t>
            </w:r>
            <w:r w:rsidRPr="00472BB5">
              <w:rPr>
                <w:rFonts w:eastAsia="Times New Roman"/>
                <w:lang w:val="sv-SE"/>
              </w:rPr>
              <w:t xml:space="preserve">  84119-2020</w:t>
            </w:r>
          </w:p>
          <w:p w14:paraId="2578922A" w14:textId="77777777" w:rsidR="002E4C31" w:rsidRPr="00472BB5" w:rsidRDefault="002E4C31" w:rsidP="002E4C31">
            <w:pPr>
              <w:pStyle w:val="NoSpacing"/>
              <w:ind w:left="-115"/>
              <w:rPr>
                <w:rFonts w:eastAsia="Times New Roman"/>
              </w:rPr>
            </w:pPr>
            <w:r>
              <w:rPr>
                <w:rFonts w:eastAsia="Times New Roman"/>
                <w:lang w:val="sv-SE"/>
              </w:rPr>
              <w:t>GTAC</w:t>
            </w:r>
            <w:r w:rsidRPr="00472BB5">
              <w:rPr>
                <w:rFonts w:eastAsia="Times New Roman"/>
                <w:lang w:val="sv-SE"/>
              </w:rPr>
              <w:t xml:space="preserve"> intranet website:</w:t>
            </w:r>
            <w:r w:rsidRPr="00E9380B">
              <w:rPr>
                <w:rFonts w:eastAsia="Times New Roman"/>
                <w:color w:val="939F27" w:themeColor="accent3" w:themeShade="BF"/>
                <w:lang w:val="sv-SE"/>
              </w:rPr>
              <w:t xml:space="preserve"> </w:t>
            </w:r>
            <w:hyperlink r:id="rId8" w:tooltip="RSAC intranet website" w:history="1">
              <w:r w:rsidRPr="0043628E">
                <w:rPr>
                  <w:rStyle w:val="Hyperlink"/>
                  <w:rFonts w:eastAsia="Times New Roman"/>
                  <w:bCs/>
                  <w:color w:val="0000FF"/>
                  <w:lang w:val="sv-SE"/>
                </w:rPr>
                <w:t>http://fsweb.</w:t>
              </w:r>
              <w:r>
                <w:rPr>
                  <w:rStyle w:val="Hyperlink"/>
                  <w:rFonts w:eastAsia="Times New Roman"/>
                  <w:bCs/>
                  <w:color w:val="0000FF"/>
                  <w:lang w:val="sv-SE"/>
                </w:rPr>
                <w:t>GTAC</w:t>
              </w:r>
              <w:r w:rsidRPr="0043628E">
                <w:rPr>
                  <w:rStyle w:val="Hyperlink"/>
                  <w:rFonts w:eastAsia="Times New Roman"/>
                  <w:bCs/>
                  <w:color w:val="0000FF"/>
                  <w:lang w:val="sv-SE"/>
                </w:rPr>
                <w:t>.fs.fed.us/</w:t>
              </w:r>
            </w:hyperlink>
          </w:p>
        </w:tc>
        <w:tc>
          <w:tcPr>
            <w:tcW w:w="4613" w:type="dxa"/>
            <w:vMerge w:val="restart"/>
          </w:tcPr>
          <w:p w14:paraId="52AC97E2" w14:textId="77777777" w:rsidR="002E4C31" w:rsidRDefault="002E4C31" w:rsidP="002E4C31">
            <w:pPr>
              <w:pStyle w:val="NoSpacing"/>
              <w:contextualSpacing/>
              <w:rPr>
                <w:rFonts w:eastAsia="Times New Roman"/>
                <w:b/>
                <w:highlight w:val="yellow"/>
              </w:rPr>
            </w:pPr>
            <w:r>
              <w:rPr>
                <w:rFonts w:eastAsia="Times New Roman"/>
                <w:b/>
              </w:rPr>
              <w:t>USFS Plumas National Forest</w:t>
            </w:r>
          </w:p>
          <w:p w14:paraId="0424A5D3" w14:textId="0A77A913" w:rsidR="00513449" w:rsidRDefault="002E4C31" w:rsidP="001B04F7">
            <w:pPr>
              <w:spacing w:after="120"/>
            </w:pPr>
            <w:r>
              <w:t xml:space="preserve">Quincy, CA </w:t>
            </w:r>
          </w:p>
          <w:p w14:paraId="1D8C1D57" w14:textId="4D136F29" w:rsidR="002E4C31" w:rsidRDefault="002E4C31" w:rsidP="002E4C31">
            <w:pPr>
              <w:ind w:left="245"/>
              <w:contextualSpacing/>
            </w:pPr>
            <w:r>
              <w:t>Ralph Martinez</w:t>
            </w:r>
          </w:p>
          <w:p w14:paraId="234E6268" w14:textId="77777777" w:rsidR="002E4C31" w:rsidRDefault="002E4C31" w:rsidP="002E4C31">
            <w:pPr>
              <w:ind w:left="245"/>
              <w:contextualSpacing/>
            </w:pPr>
            <w:r>
              <w:t>Forest GIS Coordinator</w:t>
            </w:r>
          </w:p>
          <w:p w14:paraId="1121F46B" w14:textId="77777777" w:rsidR="002E4C31" w:rsidRDefault="002E4C31" w:rsidP="002E4C31">
            <w:pPr>
              <w:ind w:left="245"/>
              <w:rPr>
                <w:rStyle w:val="Hyperlink"/>
                <w:rFonts w:eastAsia="Times New Roman"/>
                <w:bCs/>
                <w:color w:val="0000FF"/>
                <w:lang w:val="sv-SE"/>
              </w:rPr>
            </w:pPr>
            <w:r w:rsidRPr="006B69BC">
              <w:t>530-283-7779</w:t>
            </w:r>
            <w:r>
              <w:t xml:space="preserve">, </w:t>
            </w:r>
            <w:hyperlink r:id="rId9" w:history="1">
              <w:r>
                <w:rPr>
                  <w:rStyle w:val="Hyperlink"/>
                  <w:rFonts w:eastAsia="Times New Roman"/>
                  <w:bCs/>
                  <w:color w:val="0000FF"/>
                  <w:lang w:val="sv-SE"/>
                </w:rPr>
                <w:t>ralphmartinez@fs.fed.us</w:t>
              </w:r>
            </w:hyperlink>
          </w:p>
          <w:p w14:paraId="5EAA6F08" w14:textId="77777777" w:rsidR="002E4C31" w:rsidRPr="006B69BC" w:rsidRDefault="002E4C31" w:rsidP="001B04F7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USFS </w:t>
            </w:r>
            <w:r w:rsidRPr="006B69BC">
              <w:rPr>
                <w:b/>
              </w:rPr>
              <w:t>Pacific Southwest Region</w:t>
            </w:r>
          </w:p>
          <w:p w14:paraId="000BFA54" w14:textId="7995CDCB" w:rsidR="002E4C31" w:rsidRDefault="002E4C31" w:rsidP="001B04F7">
            <w:pPr>
              <w:spacing w:after="120"/>
            </w:pPr>
            <w:r>
              <w:t xml:space="preserve">Vallejo, CA </w:t>
            </w:r>
          </w:p>
          <w:p w14:paraId="668F0D14" w14:textId="77777777" w:rsidR="002E4C31" w:rsidRDefault="002E4C31" w:rsidP="002E4C31">
            <w:pPr>
              <w:ind w:left="234"/>
              <w:contextualSpacing/>
            </w:pPr>
            <w:r>
              <w:t>Tim Lindemann</w:t>
            </w:r>
          </w:p>
          <w:p w14:paraId="18F5AAAF" w14:textId="77777777" w:rsidR="002E4C31" w:rsidRDefault="002E4C31" w:rsidP="002E4C31">
            <w:pPr>
              <w:ind w:left="234"/>
              <w:contextualSpacing/>
            </w:pPr>
            <w:r>
              <w:t>Natural Resource and Natl. Application Program Manager</w:t>
            </w:r>
          </w:p>
          <w:p w14:paraId="23A1CAB3" w14:textId="77777777" w:rsidR="002E4C31" w:rsidRDefault="002E4C31" w:rsidP="002E4C31">
            <w:pPr>
              <w:ind w:left="234"/>
              <w:rPr>
                <w:rStyle w:val="Hyperlink"/>
                <w:rFonts w:eastAsia="Times New Roman"/>
                <w:bCs/>
                <w:color w:val="0000FF"/>
                <w:lang w:val="sv-SE"/>
              </w:rPr>
            </w:pPr>
            <w:r>
              <w:t xml:space="preserve">707-562-9175, </w:t>
            </w:r>
            <w:hyperlink r:id="rId10" w:history="1">
              <w:r>
                <w:rPr>
                  <w:rStyle w:val="Hyperlink"/>
                  <w:rFonts w:eastAsia="Times New Roman"/>
                  <w:bCs/>
                  <w:color w:val="0000FF"/>
                  <w:lang w:val="sv-SE"/>
                </w:rPr>
                <w:t>timlindemann@fs.fed.us</w:t>
              </w:r>
            </w:hyperlink>
          </w:p>
          <w:p w14:paraId="10EA07AD" w14:textId="77777777" w:rsidR="002E4C31" w:rsidRDefault="002E4C31" w:rsidP="001B04F7">
            <w:pPr>
              <w:spacing w:after="120"/>
              <w:contextualSpacing/>
              <w:rPr>
                <w:rStyle w:val="Hyperlink"/>
                <w:rFonts w:eastAsia="Times New Roman"/>
                <w:b/>
                <w:bCs/>
                <w:color w:val="auto"/>
                <w:u w:val="none"/>
                <w:lang w:val="sv-SE"/>
              </w:rPr>
            </w:pPr>
            <w:r>
              <w:rPr>
                <w:rStyle w:val="Hyperlink"/>
                <w:rFonts w:eastAsia="Times New Roman"/>
                <w:b/>
                <w:bCs/>
                <w:color w:val="auto"/>
                <w:u w:val="none"/>
                <w:lang w:val="sv-SE"/>
              </w:rPr>
              <w:t xml:space="preserve">USFS Washington Office </w:t>
            </w:r>
          </w:p>
          <w:p w14:paraId="7DCE69AC" w14:textId="0304E45A" w:rsidR="002E4C31" w:rsidRPr="00F14068" w:rsidRDefault="002E4C31" w:rsidP="001B04F7">
            <w:pPr>
              <w:spacing w:after="120"/>
              <w:rPr>
                <w:rStyle w:val="Hyperlink"/>
                <w:rFonts w:eastAsia="Times New Roman"/>
                <w:bCs/>
                <w:color w:val="auto"/>
                <w:u w:val="none"/>
                <w:lang w:val="sv-SE"/>
              </w:rPr>
            </w:pPr>
            <w:r w:rsidRPr="00F14068">
              <w:rPr>
                <w:rStyle w:val="Hyperlink"/>
                <w:rFonts w:eastAsia="Times New Roman"/>
                <w:bCs/>
                <w:color w:val="auto"/>
                <w:u w:val="none"/>
                <w:lang w:val="sv-SE"/>
              </w:rPr>
              <w:t xml:space="preserve">Washington, DC </w:t>
            </w:r>
          </w:p>
          <w:p w14:paraId="72B8E28B" w14:textId="77777777" w:rsidR="002E4C31" w:rsidRDefault="002E4C31" w:rsidP="002E4C31">
            <w:pPr>
              <w:ind w:left="234"/>
              <w:contextualSpacing/>
            </w:pPr>
            <w:r>
              <w:t>Mike Eberle</w:t>
            </w:r>
          </w:p>
          <w:p w14:paraId="39D7E076" w14:textId="77777777" w:rsidR="002E4C31" w:rsidRDefault="002E4C31" w:rsidP="002E4C31">
            <w:pPr>
              <w:ind w:left="234"/>
              <w:contextualSpacing/>
            </w:pPr>
            <w:r>
              <w:t>Surface Water Program Leader</w:t>
            </w:r>
          </w:p>
          <w:p w14:paraId="77A7F195" w14:textId="00EBD7F8" w:rsidR="001B04F7" w:rsidRPr="001B04F7" w:rsidRDefault="002E4C31" w:rsidP="001B04F7">
            <w:pPr>
              <w:ind w:left="230"/>
              <w:rPr>
                <w:rStyle w:val="Hyperlink"/>
                <w:rFonts w:eastAsia="Times New Roman"/>
                <w:bCs/>
                <w:color w:val="0000FF"/>
                <w:lang w:val="sv-SE"/>
              </w:rPr>
            </w:pPr>
            <w:r>
              <w:t xml:space="preserve">202-205-1093, </w:t>
            </w:r>
            <w:hyperlink r:id="rId11" w:history="1">
              <w:r>
                <w:rPr>
                  <w:rStyle w:val="Hyperlink"/>
                  <w:rFonts w:eastAsia="Times New Roman"/>
                  <w:bCs/>
                  <w:color w:val="0000FF"/>
                  <w:lang w:val="sv-SE"/>
                </w:rPr>
                <w:t>mbeberle@fs.fed.us</w:t>
              </w:r>
            </w:hyperlink>
          </w:p>
          <w:p w14:paraId="69E6670F" w14:textId="77777777" w:rsidR="002E4C31" w:rsidRPr="00A07C5A" w:rsidRDefault="002E4C31" w:rsidP="001B04F7">
            <w:pPr>
              <w:spacing w:after="120" w:line="240" w:lineRule="auto"/>
              <w:rPr>
                <w:b/>
              </w:rPr>
            </w:pPr>
            <w:r w:rsidRPr="00A07C5A">
              <w:rPr>
                <w:b/>
              </w:rPr>
              <w:t>U</w:t>
            </w:r>
            <w:r>
              <w:rPr>
                <w:b/>
              </w:rPr>
              <w:t>.</w:t>
            </w:r>
            <w:r w:rsidRPr="00A07C5A">
              <w:rPr>
                <w:b/>
              </w:rPr>
              <w:t>S</w:t>
            </w:r>
            <w:r>
              <w:rPr>
                <w:b/>
              </w:rPr>
              <w:t xml:space="preserve">. </w:t>
            </w:r>
            <w:r w:rsidRPr="00A07C5A">
              <w:rPr>
                <w:b/>
              </w:rPr>
              <w:t>G</w:t>
            </w:r>
            <w:r>
              <w:rPr>
                <w:b/>
              </w:rPr>
              <w:t xml:space="preserve">eological </w:t>
            </w:r>
            <w:r w:rsidRPr="00A07C5A">
              <w:rPr>
                <w:b/>
              </w:rPr>
              <w:t>S</w:t>
            </w:r>
            <w:r>
              <w:rPr>
                <w:b/>
              </w:rPr>
              <w:t>urvey</w:t>
            </w:r>
          </w:p>
          <w:p w14:paraId="470CA076" w14:textId="77777777" w:rsidR="002E4C31" w:rsidRDefault="002E4C31" w:rsidP="002E4C31">
            <w:pPr>
              <w:ind w:left="234"/>
              <w:contextualSpacing/>
            </w:pPr>
            <w:r>
              <w:t>Greg Matthews</w:t>
            </w:r>
          </w:p>
          <w:p w14:paraId="4A74ABEE" w14:textId="77777777" w:rsidR="002E4C31" w:rsidRDefault="002E4C31" w:rsidP="002E4C31">
            <w:pPr>
              <w:ind w:left="234"/>
              <w:contextualSpacing/>
            </w:pPr>
            <w:r>
              <w:t>NGP Natural Resources Conservation Community of Use Coordinator</w:t>
            </w:r>
          </w:p>
          <w:p w14:paraId="78F493DD" w14:textId="77777777" w:rsidR="002E4C31" w:rsidRDefault="002E4C31" w:rsidP="002E4C31">
            <w:pPr>
              <w:ind w:left="234"/>
            </w:pPr>
            <w:r>
              <w:t xml:space="preserve">303-202-4446, </w:t>
            </w:r>
            <w:hyperlink r:id="rId12" w:history="1">
              <w:r>
                <w:rPr>
                  <w:rStyle w:val="Hyperlink"/>
                  <w:rFonts w:eastAsia="Times New Roman"/>
                  <w:bCs/>
                  <w:color w:val="0000FF"/>
                  <w:lang w:val="sv-SE"/>
                </w:rPr>
                <w:t>gdmatthews@usgs.gov</w:t>
              </w:r>
            </w:hyperlink>
          </w:p>
          <w:p w14:paraId="59D96D49" w14:textId="77777777" w:rsidR="002E4C31" w:rsidRDefault="002E4C31" w:rsidP="002E4C31">
            <w:pPr>
              <w:ind w:left="234"/>
              <w:contextualSpacing/>
            </w:pPr>
            <w:r>
              <w:t>Carol Ostergren</w:t>
            </w:r>
          </w:p>
          <w:p w14:paraId="054267DC" w14:textId="77777777" w:rsidR="002E4C31" w:rsidRDefault="002E4C31" w:rsidP="002E4C31">
            <w:pPr>
              <w:ind w:left="234"/>
              <w:contextualSpacing/>
            </w:pPr>
            <w:r>
              <w:t>National Map Liaison</w:t>
            </w:r>
          </w:p>
          <w:p w14:paraId="5F970A55" w14:textId="77777777" w:rsidR="002E4C31" w:rsidRDefault="002E4C31" w:rsidP="002E4C31">
            <w:pPr>
              <w:ind w:left="234"/>
              <w:rPr>
                <w:rStyle w:val="Hyperlink"/>
                <w:rFonts w:eastAsia="Times New Roman"/>
                <w:bCs/>
                <w:color w:val="0000FF"/>
                <w:lang w:val="sv-SE"/>
              </w:rPr>
            </w:pPr>
            <w:r>
              <w:t xml:space="preserve">916-278-9510, </w:t>
            </w:r>
            <w:hyperlink r:id="rId13" w:history="1">
              <w:r>
                <w:rPr>
                  <w:rStyle w:val="Hyperlink"/>
                  <w:rFonts w:eastAsia="Times New Roman"/>
                  <w:bCs/>
                  <w:color w:val="0000FF"/>
                  <w:lang w:val="sv-SE"/>
                </w:rPr>
                <w:t>costergren@usgs.gov</w:t>
              </w:r>
            </w:hyperlink>
          </w:p>
          <w:p w14:paraId="40744D8C" w14:textId="77777777" w:rsidR="002E4C31" w:rsidRDefault="002E4C31" w:rsidP="002E4C31">
            <w:pPr>
              <w:ind w:left="234"/>
              <w:contextualSpacing/>
            </w:pPr>
            <w:r>
              <w:t>Ray Postolovski</w:t>
            </w:r>
          </w:p>
          <w:p w14:paraId="5142D179" w14:textId="77777777" w:rsidR="002E4C31" w:rsidRDefault="002E4C31" w:rsidP="002E4C31">
            <w:pPr>
              <w:ind w:left="234"/>
              <w:contextualSpacing/>
            </w:pPr>
            <w:r>
              <w:t>Supervisory Cartographer</w:t>
            </w:r>
          </w:p>
          <w:p w14:paraId="68B3EAF2" w14:textId="0B6AEA73" w:rsidR="002E4C31" w:rsidRPr="00F14068" w:rsidRDefault="002E4C31" w:rsidP="002E4C31">
            <w:pPr>
              <w:ind w:left="234"/>
              <w:contextualSpacing/>
              <w:rPr>
                <w:rFonts w:eastAsia="Times New Roman"/>
                <w:bCs/>
                <w:color w:val="0000FF"/>
                <w:u w:val="single"/>
                <w:lang w:val="sv-SE"/>
              </w:rPr>
            </w:pPr>
            <w:r>
              <w:t xml:space="preserve">303-202-4363, </w:t>
            </w:r>
            <w:hyperlink r:id="rId14" w:history="1">
              <w:r>
                <w:rPr>
                  <w:rStyle w:val="Hyperlink"/>
                  <w:rFonts w:eastAsia="Times New Roman"/>
                  <w:bCs/>
                  <w:color w:val="0000FF"/>
                  <w:lang w:val="sv-SE"/>
                </w:rPr>
                <w:t>rpostolovski@usgs.gov</w:t>
              </w:r>
            </w:hyperlink>
          </w:p>
        </w:tc>
      </w:tr>
      <w:tr w:rsidR="002E4C31" w:rsidRPr="00472BB5" w14:paraId="6527DE03" w14:textId="77777777" w:rsidTr="00654CE1">
        <w:trPr>
          <w:cantSplit/>
          <w:trHeight w:val="1337"/>
          <w:tblHeader/>
        </w:trPr>
        <w:tc>
          <w:tcPr>
            <w:tcW w:w="4945" w:type="dxa"/>
            <w:tcMar>
              <w:top w:w="0" w:type="dxa"/>
              <w:left w:w="115" w:type="dxa"/>
              <w:right w:w="115" w:type="dxa"/>
            </w:tcMar>
          </w:tcPr>
          <w:p w14:paraId="67B2857F" w14:textId="77777777" w:rsidR="002E4C31" w:rsidRPr="009B36C5" w:rsidRDefault="002E4C31" w:rsidP="002E4C31">
            <w:pPr>
              <w:pStyle w:val="NoSpacing"/>
              <w:spacing w:before="120"/>
              <w:ind w:left="274"/>
              <w:rPr>
                <w:rFonts w:eastAsia="Times New Roman"/>
              </w:rPr>
            </w:pPr>
            <w:r>
              <w:rPr>
                <w:rFonts w:eastAsia="Times New Roman"/>
              </w:rPr>
              <w:t>Eric Rounds</w:t>
            </w:r>
          </w:p>
          <w:p w14:paraId="46B83F57" w14:textId="77777777" w:rsidR="002E4C31" w:rsidRPr="00472BB5" w:rsidRDefault="002E4C31" w:rsidP="002E4C31">
            <w:pPr>
              <w:pStyle w:val="NoSpacing"/>
              <w:ind w:left="270"/>
              <w:rPr>
                <w:rFonts w:eastAsia="Times New Roman"/>
              </w:rPr>
            </w:pPr>
            <w:r w:rsidRPr="00472BB5">
              <w:rPr>
                <w:rFonts w:eastAsia="Times New Roman"/>
              </w:rPr>
              <w:t>Project Lead</w:t>
            </w:r>
          </w:p>
          <w:p w14:paraId="2562BD28" w14:textId="77777777" w:rsidR="002E4C31" w:rsidRDefault="002E4C31" w:rsidP="002E4C31">
            <w:pPr>
              <w:pStyle w:val="NoSpacing"/>
              <w:ind w:left="270"/>
              <w:rPr>
                <w:rFonts w:eastAsia="Times New Roman"/>
              </w:rPr>
            </w:pPr>
            <w:r>
              <w:rPr>
                <w:rFonts w:eastAsia="Times New Roman"/>
              </w:rPr>
              <w:t>Remote Sensing Specialist</w:t>
            </w:r>
          </w:p>
          <w:p w14:paraId="57FF651F" w14:textId="77777777" w:rsidR="002E4C31" w:rsidRPr="009B36C5" w:rsidRDefault="002E4C31" w:rsidP="002E4C31">
            <w:pPr>
              <w:pStyle w:val="NoSpacing"/>
              <w:ind w:left="270"/>
              <w:rPr>
                <w:rFonts w:eastAsia="Times New Roman"/>
              </w:rPr>
            </w:pPr>
            <w:r w:rsidRPr="00203B10">
              <w:rPr>
                <w:rFonts w:eastAsia="Times New Roman"/>
              </w:rPr>
              <w:t>RedCastle Resources, onsite contractor</w:t>
            </w:r>
          </w:p>
          <w:p w14:paraId="7BD73BF0" w14:textId="77777777" w:rsidR="002E4C31" w:rsidRPr="00B1601E" w:rsidRDefault="002E4C31" w:rsidP="002E4C31">
            <w:pPr>
              <w:pStyle w:val="NoSpacing"/>
              <w:ind w:left="270"/>
              <w:rPr>
                <w:rStyle w:val="Strong"/>
              </w:rPr>
            </w:pPr>
            <w:r>
              <w:rPr>
                <w:rFonts w:eastAsia="Times New Roman"/>
              </w:rPr>
              <w:t xml:space="preserve">801-975-3771, </w:t>
            </w:r>
            <w:hyperlink r:id="rId15" w:history="1">
              <w:r>
                <w:rPr>
                  <w:rStyle w:val="Hyperlink"/>
                  <w:rFonts w:eastAsia="Times New Roman"/>
                  <w:bCs/>
                  <w:color w:val="0000FF"/>
                  <w:lang w:val="sv-SE"/>
                </w:rPr>
                <w:t>ericrounds@fs.fed.us</w:t>
              </w:r>
            </w:hyperlink>
          </w:p>
        </w:tc>
        <w:tc>
          <w:tcPr>
            <w:tcW w:w="4613" w:type="dxa"/>
            <w:vMerge/>
          </w:tcPr>
          <w:p w14:paraId="0B2352B0" w14:textId="77777777" w:rsidR="002E4C31" w:rsidRPr="00891164" w:rsidRDefault="002E4C31" w:rsidP="002E4C31">
            <w:pPr>
              <w:pStyle w:val="NoSpacing"/>
              <w:ind w:left="259"/>
              <w:rPr>
                <w:rFonts w:eastAsia="Times New Roman"/>
              </w:rPr>
            </w:pPr>
          </w:p>
        </w:tc>
      </w:tr>
      <w:tr w:rsidR="002E4C31" w:rsidRPr="00472BB5" w14:paraId="4955C8D5" w14:textId="77777777" w:rsidTr="00654CE1">
        <w:trPr>
          <w:cantSplit/>
          <w:trHeight w:val="1310"/>
          <w:tblHeader/>
        </w:trPr>
        <w:tc>
          <w:tcPr>
            <w:tcW w:w="4945" w:type="dxa"/>
            <w:tcMar>
              <w:top w:w="0" w:type="dxa"/>
              <w:left w:w="115" w:type="dxa"/>
              <w:right w:w="115" w:type="dxa"/>
            </w:tcMar>
          </w:tcPr>
          <w:p w14:paraId="457CFC25" w14:textId="77777777" w:rsidR="002E4C31" w:rsidRPr="00472BB5" w:rsidRDefault="002E4C31" w:rsidP="002E4C31">
            <w:pPr>
              <w:pStyle w:val="NoSpacing"/>
              <w:spacing w:before="120"/>
              <w:ind w:left="274"/>
              <w:rPr>
                <w:rFonts w:eastAsia="Times New Roman"/>
              </w:rPr>
            </w:pPr>
            <w:r w:rsidRPr="00472BB5">
              <w:rPr>
                <w:rFonts w:eastAsia="Times New Roman"/>
              </w:rPr>
              <w:t>Haans Fisk</w:t>
            </w:r>
          </w:p>
          <w:p w14:paraId="66E1F639" w14:textId="77777777" w:rsidR="002E4C31" w:rsidRPr="00472BB5" w:rsidRDefault="002E4C31" w:rsidP="002E4C31">
            <w:pPr>
              <w:pStyle w:val="NoSpacing"/>
              <w:ind w:left="270"/>
              <w:rPr>
                <w:rFonts w:eastAsia="Times New Roman"/>
              </w:rPr>
            </w:pPr>
            <w:r w:rsidRPr="00472BB5">
              <w:rPr>
                <w:rFonts w:eastAsia="Times New Roman"/>
              </w:rPr>
              <w:t>Program Leader</w:t>
            </w:r>
          </w:p>
          <w:p w14:paraId="05AFE04C" w14:textId="77777777" w:rsidR="002E4C31" w:rsidRPr="00472BB5" w:rsidRDefault="002E4C31" w:rsidP="002E4C31">
            <w:pPr>
              <w:pStyle w:val="NoSpacing"/>
              <w:ind w:left="270"/>
              <w:rPr>
                <w:rFonts w:eastAsia="Times New Roman"/>
              </w:rPr>
            </w:pPr>
            <w:r>
              <w:rPr>
                <w:rFonts w:eastAsia="Times New Roman"/>
              </w:rPr>
              <w:t>Resource Applications &amp; Technology Implementation (RATI)</w:t>
            </w:r>
          </w:p>
          <w:p w14:paraId="473C7330" w14:textId="77777777" w:rsidR="002E4C31" w:rsidRPr="00B1601E" w:rsidRDefault="002E4C31" w:rsidP="002E4C31">
            <w:pPr>
              <w:pStyle w:val="NoSpacing"/>
              <w:ind w:left="270"/>
              <w:rPr>
                <w:rStyle w:val="Strong"/>
              </w:rPr>
            </w:pPr>
            <w:r w:rsidRPr="00472BB5">
              <w:rPr>
                <w:rFonts w:eastAsia="Times New Roman"/>
              </w:rPr>
              <w:t xml:space="preserve">801-975-3750, </w:t>
            </w:r>
            <w:hyperlink r:id="rId16" w:history="1">
              <w:r w:rsidRPr="0043628E">
                <w:rPr>
                  <w:rStyle w:val="Hyperlink"/>
                  <w:color w:val="0000FF"/>
                  <w:lang w:val="sv-SE"/>
                </w:rPr>
                <w:t>hfisk@fs.fed.us</w:t>
              </w:r>
            </w:hyperlink>
          </w:p>
        </w:tc>
        <w:tc>
          <w:tcPr>
            <w:tcW w:w="4613" w:type="dxa"/>
            <w:vMerge/>
          </w:tcPr>
          <w:p w14:paraId="751BDF63" w14:textId="77777777" w:rsidR="002E4C31" w:rsidRDefault="002E4C31" w:rsidP="002E4C31">
            <w:pPr>
              <w:pStyle w:val="NoSpacing"/>
              <w:ind w:left="259"/>
              <w:rPr>
                <w:rFonts w:eastAsia="Times New Roman"/>
                <w:b/>
              </w:rPr>
            </w:pPr>
          </w:p>
        </w:tc>
      </w:tr>
      <w:tr w:rsidR="002E4C31" w:rsidRPr="00472BB5" w14:paraId="25BF8E6C" w14:textId="77777777" w:rsidTr="00654CE1">
        <w:trPr>
          <w:cantSplit/>
          <w:trHeight w:val="1283"/>
          <w:tblHeader/>
        </w:trPr>
        <w:tc>
          <w:tcPr>
            <w:tcW w:w="4945" w:type="dxa"/>
            <w:tcMar>
              <w:top w:w="0" w:type="dxa"/>
              <w:left w:w="115" w:type="dxa"/>
              <w:right w:w="115" w:type="dxa"/>
            </w:tcMar>
          </w:tcPr>
          <w:p w14:paraId="7B06748F" w14:textId="77777777" w:rsidR="002E4C31" w:rsidRPr="00E7596B" w:rsidRDefault="002E4C31" w:rsidP="002E4C31">
            <w:pPr>
              <w:pStyle w:val="NoSpacing"/>
              <w:spacing w:before="120"/>
              <w:ind w:left="274"/>
              <w:rPr>
                <w:rFonts w:eastAsia="Times New Roman"/>
              </w:rPr>
            </w:pPr>
            <w:r w:rsidRPr="00E7596B">
              <w:rPr>
                <w:rFonts w:eastAsia="Times New Roman"/>
              </w:rPr>
              <w:t>Jess Clark</w:t>
            </w:r>
          </w:p>
          <w:p w14:paraId="41B28258" w14:textId="77777777" w:rsidR="002E4C31" w:rsidRPr="00E7596B" w:rsidRDefault="002E4C31" w:rsidP="002E4C31">
            <w:pPr>
              <w:pStyle w:val="NoSpacing"/>
              <w:ind w:left="270"/>
              <w:rPr>
                <w:rFonts w:eastAsia="Times New Roman"/>
              </w:rPr>
            </w:pPr>
            <w:r w:rsidRPr="00E7596B">
              <w:rPr>
                <w:rFonts w:eastAsia="Times New Roman"/>
              </w:rPr>
              <w:t>Assistant Program Leader</w:t>
            </w:r>
          </w:p>
          <w:p w14:paraId="783F2F20" w14:textId="77777777" w:rsidR="002E4C31" w:rsidRPr="00472BB5" w:rsidRDefault="002E4C31" w:rsidP="002E4C31">
            <w:pPr>
              <w:pStyle w:val="NoSpacing"/>
              <w:ind w:left="270"/>
              <w:rPr>
                <w:rFonts w:eastAsia="Times New Roman"/>
              </w:rPr>
            </w:pPr>
            <w:r>
              <w:rPr>
                <w:rFonts w:eastAsia="Times New Roman"/>
              </w:rPr>
              <w:t>Resource Applications &amp; Technology Implementation (RATI)</w:t>
            </w:r>
          </w:p>
          <w:p w14:paraId="2AFFD191" w14:textId="77777777" w:rsidR="002E4C31" w:rsidRPr="00B1601E" w:rsidRDefault="002E4C31" w:rsidP="002E4C31">
            <w:pPr>
              <w:pStyle w:val="NoSpacing"/>
              <w:ind w:left="270"/>
              <w:rPr>
                <w:rStyle w:val="Strong"/>
              </w:rPr>
            </w:pPr>
            <w:r w:rsidRPr="00E7596B">
              <w:rPr>
                <w:rFonts w:eastAsia="Times New Roman"/>
              </w:rPr>
              <w:t>801-975-3769</w:t>
            </w:r>
            <w:r>
              <w:rPr>
                <w:rFonts w:eastAsia="Times New Roman"/>
              </w:rPr>
              <w:t>,</w:t>
            </w:r>
            <w:r w:rsidRPr="00E7596B">
              <w:rPr>
                <w:rFonts w:eastAsia="Times New Roman"/>
              </w:rPr>
              <w:t xml:space="preserve"> </w:t>
            </w:r>
            <w:hyperlink r:id="rId17" w:history="1">
              <w:r w:rsidRPr="0043628E">
                <w:rPr>
                  <w:rStyle w:val="Hyperlink"/>
                  <w:color w:val="0000FF"/>
                  <w:lang w:val="sv-SE"/>
                </w:rPr>
                <w:t>jesstclark@fs.fed.us</w:t>
              </w:r>
            </w:hyperlink>
          </w:p>
        </w:tc>
        <w:tc>
          <w:tcPr>
            <w:tcW w:w="4613" w:type="dxa"/>
            <w:vMerge/>
          </w:tcPr>
          <w:p w14:paraId="331773BB" w14:textId="77777777" w:rsidR="002E4C31" w:rsidRDefault="002E4C31" w:rsidP="002E4C31">
            <w:pPr>
              <w:pStyle w:val="NoSpacing"/>
              <w:ind w:left="259"/>
              <w:rPr>
                <w:rFonts w:eastAsia="Times New Roman"/>
                <w:b/>
              </w:rPr>
            </w:pPr>
          </w:p>
        </w:tc>
      </w:tr>
      <w:tr w:rsidR="002E4C31" w:rsidRPr="00472BB5" w14:paraId="3E913F75" w14:textId="77777777" w:rsidTr="00654CE1">
        <w:trPr>
          <w:cantSplit/>
          <w:trHeight w:val="797"/>
          <w:tblHeader/>
        </w:trPr>
        <w:tc>
          <w:tcPr>
            <w:tcW w:w="4945" w:type="dxa"/>
            <w:tcMar>
              <w:top w:w="0" w:type="dxa"/>
              <w:left w:w="115" w:type="dxa"/>
              <w:right w:w="115" w:type="dxa"/>
            </w:tcMar>
          </w:tcPr>
          <w:p w14:paraId="40C795A2" w14:textId="77777777" w:rsidR="002E4C31" w:rsidRPr="00E7596B" w:rsidRDefault="002E4C31" w:rsidP="002E4C31">
            <w:pPr>
              <w:pStyle w:val="NoSpacing"/>
              <w:spacing w:before="120"/>
              <w:ind w:left="274"/>
              <w:rPr>
                <w:rFonts w:eastAsia="Times New Roman"/>
              </w:rPr>
            </w:pPr>
            <w:r>
              <w:rPr>
                <w:rFonts w:eastAsia="Times New Roman"/>
              </w:rPr>
              <w:t>Abigail Schaaf</w:t>
            </w:r>
          </w:p>
          <w:p w14:paraId="43C43DDF" w14:textId="77777777" w:rsidR="002E4C31" w:rsidRPr="00E7596B" w:rsidRDefault="002E4C31" w:rsidP="002E4C31">
            <w:pPr>
              <w:pStyle w:val="NoSpacing"/>
              <w:ind w:left="270"/>
              <w:rPr>
                <w:rFonts w:eastAsia="Times New Roman"/>
              </w:rPr>
            </w:pPr>
            <w:r>
              <w:rPr>
                <w:rFonts w:eastAsia="Times New Roman"/>
              </w:rPr>
              <w:t>Remote Sensing Project Manager</w:t>
            </w:r>
          </w:p>
          <w:p w14:paraId="5A865B91" w14:textId="77777777" w:rsidR="002E4C31" w:rsidRPr="00E7596B" w:rsidRDefault="002E4C31" w:rsidP="002E4C31">
            <w:pPr>
              <w:pStyle w:val="NoSpacing"/>
              <w:ind w:left="270"/>
              <w:rPr>
                <w:rFonts w:eastAsia="Times New Roman"/>
              </w:rPr>
            </w:pPr>
            <w:r>
              <w:rPr>
                <w:rFonts w:eastAsia="Times New Roman"/>
              </w:rPr>
              <w:t>RedCastle Resources, onsite contractor</w:t>
            </w:r>
          </w:p>
          <w:p w14:paraId="6F73B56C" w14:textId="77777777" w:rsidR="002E4C31" w:rsidRPr="00B1601E" w:rsidRDefault="002E4C31" w:rsidP="002E4C31">
            <w:pPr>
              <w:pStyle w:val="NoSpacing"/>
              <w:rPr>
                <w:rStyle w:val="Strong"/>
              </w:rPr>
            </w:pPr>
            <w:r>
              <w:rPr>
                <w:rFonts w:eastAsia="Times New Roman"/>
              </w:rPr>
              <w:t xml:space="preserve">     801-975-3738,</w:t>
            </w:r>
            <w:r w:rsidRPr="00E7596B">
              <w:rPr>
                <w:rFonts w:eastAsia="Times New Roman"/>
              </w:rPr>
              <w:t xml:space="preserve"> </w:t>
            </w:r>
            <w:hyperlink r:id="rId18" w:history="1">
              <w:r>
                <w:rPr>
                  <w:rStyle w:val="Hyperlink"/>
                  <w:color w:val="0000FF"/>
                  <w:lang w:val="sv-SE"/>
                </w:rPr>
                <w:t>aschaaf@fs.fed.us</w:t>
              </w:r>
            </w:hyperlink>
          </w:p>
        </w:tc>
        <w:tc>
          <w:tcPr>
            <w:tcW w:w="4613" w:type="dxa"/>
            <w:vMerge/>
          </w:tcPr>
          <w:p w14:paraId="4503D1B7" w14:textId="77777777" w:rsidR="002E4C31" w:rsidRDefault="002E4C31" w:rsidP="002E4C31">
            <w:pPr>
              <w:pStyle w:val="NoSpacing"/>
              <w:ind w:left="259"/>
              <w:rPr>
                <w:rFonts w:eastAsia="Times New Roman"/>
                <w:b/>
              </w:rPr>
            </w:pPr>
          </w:p>
        </w:tc>
      </w:tr>
      <w:tr w:rsidR="002E4C31" w:rsidRPr="00472BB5" w14:paraId="63EEE0D6" w14:textId="77777777" w:rsidTr="00654CE1">
        <w:trPr>
          <w:cantSplit/>
          <w:trHeight w:val="2915"/>
          <w:tblHeader/>
        </w:trPr>
        <w:tc>
          <w:tcPr>
            <w:tcW w:w="4945" w:type="dxa"/>
            <w:tcMar>
              <w:top w:w="0" w:type="dxa"/>
              <w:left w:w="115" w:type="dxa"/>
              <w:right w:w="115" w:type="dxa"/>
            </w:tcMar>
          </w:tcPr>
          <w:p w14:paraId="5576648B" w14:textId="77777777" w:rsidR="002E4C31" w:rsidRDefault="002E4C31" w:rsidP="001B04F7">
            <w:pPr>
              <w:pStyle w:val="NoSpacing"/>
              <w:spacing w:before="120"/>
              <w:ind w:left="245"/>
              <w:contextualSpacing/>
              <w:rPr>
                <w:rFonts w:eastAsia="Times New Roman"/>
              </w:rPr>
            </w:pPr>
            <w:r w:rsidRPr="00C24454">
              <w:rPr>
                <w:rFonts w:eastAsia="Times New Roman"/>
              </w:rPr>
              <w:t>Mike Plivelich</w:t>
            </w:r>
          </w:p>
          <w:p w14:paraId="39FC0D0D" w14:textId="77777777" w:rsidR="002E4C31" w:rsidRDefault="002E4C31" w:rsidP="002E4C31">
            <w:pPr>
              <w:pStyle w:val="NoSpacing"/>
              <w:ind w:left="245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Alaska NHD Principal Steward</w:t>
            </w:r>
          </w:p>
          <w:p w14:paraId="158D7C6C" w14:textId="77777777" w:rsidR="002E4C31" w:rsidRDefault="002E4C31" w:rsidP="002E4C31">
            <w:pPr>
              <w:pStyle w:val="NoSpacing"/>
              <w:ind w:left="245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RedCastle Resources, offsite contractor</w:t>
            </w:r>
          </w:p>
          <w:p w14:paraId="04E0E2A0" w14:textId="3A994930" w:rsidR="002E4C31" w:rsidRPr="002E4C31" w:rsidRDefault="002E4C31" w:rsidP="002E4C31">
            <w:pPr>
              <w:pStyle w:val="NoSpacing"/>
              <w:ind w:left="245"/>
              <w:contextualSpacing/>
              <w:rPr>
                <w:rStyle w:val="Strong"/>
                <w:rFonts w:eastAsia="Times New Roman"/>
                <w:b w:val="0"/>
                <w:bCs w:val="0"/>
              </w:rPr>
            </w:pPr>
            <w:r w:rsidRPr="002E4C31">
              <w:rPr>
                <w:rFonts w:eastAsia="Times New Roman"/>
              </w:rPr>
              <w:t>616-920-7265</w:t>
            </w:r>
            <w:r>
              <w:rPr>
                <w:rFonts w:eastAsia="Times New Roman"/>
              </w:rPr>
              <w:t xml:space="preserve">, </w:t>
            </w:r>
            <w:hyperlink r:id="rId19" w:history="1">
              <w:r>
                <w:rPr>
                  <w:rStyle w:val="Hyperlink"/>
                  <w:color w:val="0000FF"/>
                  <w:lang w:val="sv-SE"/>
                </w:rPr>
                <w:t>plivelich@gmail.com</w:t>
              </w:r>
            </w:hyperlink>
          </w:p>
        </w:tc>
        <w:tc>
          <w:tcPr>
            <w:tcW w:w="4613" w:type="dxa"/>
            <w:vMerge/>
          </w:tcPr>
          <w:p w14:paraId="4262D0BE" w14:textId="77777777" w:rsidR="002E4C31" w:rsidRDefault="002E4C31" w:rsidP="002E4C31">
            <w:pPr>
              <w:pStyle w:val="NoSpacing"/>
              <w:ind w:left="259"/>
              <w:rPr>
                <w:rFonts w:eastAsia="Times New Roman"/>
                <w:b/>
              </w:rPr>
            </w:pPr>
          </w:p>
        </w:tc>
      </w:tr>
    </w:tbl>
    <w:p w14:paraId="205F70FB" w14:textId="77777777" w:rsidR="00272CA9" w:rsidRPr="00296B91" w:rsidRDefault="00236E34" w:rsidP="002E4C31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C3BBA" wp14:editId="233C165B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5905500" cy="19050"/>
                <wp:effectExtent l="0" t="0" r="19050" b="19050"/>
                <wp:wrapNone/>
                <wp:docPr id="5" name="Straight Connector 5" descr="Line separating Title from bod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1672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98B71" id="Straight Connector 5" o:spid="_x0000_s1026" alt="Line separating Title from body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6pt" to="4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" strokecolor="#01672d" strokeweight="1.5pt">
                <v:stroke joinstyle="miter"/>
              </v:line>
            </w:pict>
          </mc:Fallback>
        </mc:AlternateContent>
      </w:r>
    </w:p>
    <w:p w14:paraId="3D556C43" w14:textId="77777777" w:rsidR="00C324AC" w:rsidRPr="00C324AC" w:rsidRDefault="00C324AC" w:rsidP="00C324AC">
      <w:pPr>
        <w:pStyle w:val="Heading2"/>
        <w:rPr>
          <w:b/>
          <w:bCs/>
        </w:rPr>
      </w:pPr>
      <w:r w:rsidRPr="00C324AC">
        <w:rPr>
          <w:b/>
          <w:bCs/>
        </w:rPr>
        <w:lastRenderedPageBreak/>
        <w:t>Overview</w:t>
      </w:r>
    </w:p>
    <w:p w14:paraId="112715FE" w14:textId="5CD053F3" w:rsidR="000E146B" w:rsidRDefault="00EC4704" w:rsidP="00EC4704">
      <w:r>
        <w:t>As the U.S. Forest Service (USFS) continues to collect lidar data for Forests</w:t>
      </w:r>
      <w:r w:rsidR="00FF0B4C">
        <w:t xml:space="preserve"> across the country</w:t>
      </w:r>
      <w:r>
        <w:t xml:space="preserve">, there is increasing </w:t>
      </w:r>
      <w:r w:rsidR="0061148D">
        <w:t>availability of</w:t>
      </w:r>
      <w:r>
        <w:t xml:space="preserve"> high resolution (1-meter) digital elevation models (DEM</w:t>
      </w:r>
      <w:r w:rsidR="009D6B83">
        <w:t xml:space="preserve">). </w:t>
      </w:r>
      <w:r w:rsidR="009835D7">
        <w:t>A</w:t>
      </w:r>
      <w:r w:rsidR="009D6B83">
        <w:t xml:space="preserve"> common </w:t>
      </w:r>
      <w:r w:rsidR="00B03679">
        <w:t xml:space="preserve">application of DEMs </w:t>
      </w:r>
      <w:r w:rsidR="009D6B83">
        <w:t>is the creation of hydrography</w:t>
      </w:r>
      <w:r w:rsidR="00FF0B4C">
        <w:t xml:space="preserve"> data that captures the location and extent of rivers, streams, lakes and ponds.</w:t>
      </w:r>
      <w:r w:rsidR="00B03679">
        <w:t xml:space="preserve"> The National Hydrography Dataset (NHD) is the most comprehensive collection of hydrography data in the United States, and it is utilized by scientists and government agencies in numerous capacities. </w:t>
      </w:r>
      <w:r>
        <w:t xml:space="preserve">Hydrography data created from high resolution DEMs are more accurate than current data available through the NHD, which </w:t>
      </w:r>
      <w:r w:rsidR="00111AC3">
        <w:t>are</w:t>
      </w:r>
      <w:r w:rsidR="005B3775">
        <w:t xml:space="preserve"> primarily created from the original 1:24,000 scale topographic maps.</w:t>
      </w:r>
    </w:p>
    <w:p w14:paraId="238367F9" w14:textId="3F91B2DF" w:rsidR="00EC4704" w:rsidRDefault="0061148D" w:rsidP="00EA4891">
      <w:r>
        <w:t xml:space="preserve">To integrate the more </w:t>
      </w:r>
      <w:r w:rsidR="00B03679">
        <w:t>accurate</w:t>
      </w:r>
      <w:r>
        <w:t xml:space="preserve">, lidar-derived hydrography data into the NHD, the </w:t>
      </w:r>
      <w:r w:rsidR="009F721E">
        <w:t>U.S. Geological Survey (USGS)</w:t>
      </w:r>
      <w:r>
        <w:t xml:space="preserve"> works with state, federal and local agencies </w:t>
      </w:r>
      <w:r w:rsidR="00B03679">
        <w:t xml:space="preserve">through a stewardship program that </w:t>
      </w:r>
      <w:r w:rsidR="008900B3">
        <w:t xml:space="preserve">enables qualified individuals to </w:t>
      </w:r>
      <w:r w:rsidR="00944A17">
        <w:t>conflate</w:t>
      </w:r>
      <w:r w:rsidR="008900B3">
        <w:t xml:space="preserve"> new data </w:t>
      </w:r>
      <w:r w:rsidR="00944A17">
        <w:t>with</w:t>
      </w:r>
      <w:r w:rsidR="000E146B">
        <w:t xml:space="preserve"> the NHD.</w:t>
      </w:r>
      <w:r w:rsidR="001D22D8">
        <w:t xml:space="preserve"> The primary tool used to update the NHD with large</w:t>
      </w:r>
      <w:r w:rsidR="00944A17">
        <w:t xml:space="preserve"> amounts of</w:t>
      </w:r>
      <w:r w:rsidR="001D22D8">
        <w:t xml:space="preserve"> data is the USGS GeoConflation tool, for which users need training in order to gain access.</w:t>
      </w:r>
      <w:r w:rsidR="000E146B">
        <w:t xml:space="preserve"> </w:t>
      </w:r>
      <w:r w:rsidR="00320ED2">
        <w:t xml:space="preserve">USFS Region 5 cooperators currently see the process of bulk updating the NHD with lidar derived flowlines as a difficult, unintuitive process. </w:t>
      </w:r>
      <w:r w:rsidR="00EC4704">
        <w:t xml:space="preserve">To facilitate the incorporation of lidar-derived flowlines into the NHD, Region 5 </w:t>
      </w:r>
      <w:r w:rsidR="009F721E">
        <w:t xml:space="preserve">cooperators </w:t>
      </w:r>
      <w:r w:rsidR="00320ED2">
        <w:t>desire</w:t>
      </w:r>
      <w:r w:rsidR="00EC4704">
        <w:t xml:space="preserve"> a workflow that will enable them to </w:t>
      </w:r>
      <w:r w:rsidR="009F721E">
        <w:t xml:space="preserve">improve the efficiency of </w:t>
      </w:r>
      <w:r w:rsidR="00EC4704">
        <w:t>updat</w:t>
      </w:r>
      <w:r w:rsidR="009F721E">
        <w:t>ing</w:t>
      </w:r>
      <w:r w:rsidR="00EC4704">
        <w:t xml:space="preserve"> the NHD with large amounts of data (multiple HUC12s)</w:t>
      </w:r>
      <w:r w:rsidR="009231BB">
        <w:t>.</w:t>
      </w:r>
    </w:p>
    <w:p w14:paraId="033885DD" w14:textId="77777777" w:rsidR="00C324AC" w:rsidRPr="00C324AC" w:rsidRDefault="00622ACB" w:rsidP="00C324AC">
      <w:pPr>
        <w:pStyle w:val="Heading2"/>
        <w:rPr>
          <w:b/>
        </w:rPr>
      </w:pPr>
      <w:r>
        <w:rPr>
          <w:b/>
        </w:rPr>
        <w:t>Scope</w:t>
      </w:r>
    </w:p>
    <w:p w14:paraId="2A7430ED" w14:textId="06245C4E" w:rsidR="002B170D" w:rsidRDefault="00D16A88" w:rsidP="00C324AC">
      <w:r>
        <w:t xml:space="preserve">This </w:t>
      </w:r>
      <w:r w:rsidR="009835D7">
        <w:t>objective of this project is to find</w:t>
      </w:r>
      <w:r>
        <w:t xml:space="preserve"> ways to improve the efficiency of preparing hydrography flowlines for the USGS GeoConflation Tool.</w:t>
      </w:r>
      <w:r w:rsidR="00741372" w:rsidRPr="00741372">
        <w:t xml:space="preserve"> </w:t>
      </w:r>
      <w:r w:rsidR="00741372">
        <w:t>In order to be ingested into the GeoConflation tool, flowlines need to have specific attribute information, including proper classifications and flow direction, and pre-conflation QA/QC checks</w:t>
      </w:r>
      <w:r w:rsidR="009835D7">
        <w:t xml:space="preserve"> that ensure NHD model standards</w:t>
      </w:r>
      <w:r w:rsidR="00741372">
        <w:t xml:space="preserve">. </w:t>
      </w:r>
      <w:r w:rsidR="009F721E">
        <w:t xml:space="preserve">Stewards and hydrography experts from the USGS and USFS will be consulted </w:t>
      </w:r>
      <w:r w:rsidR="00741372">
        <w:t>throughout</w:t>
      </w:r>
      <w:r w:rsidR="009F721E">
        <w:t xml:space="preserve"> the project to identify key areas where improvements to the </w:t>
      </w:r>
      <w:r w:rsidR="009835D7">
        <w:t xml:space="preserve">pre-conflation </w:t>
      </w:r>
      <w:r w:rsidR="009F721E">
        <w:t>process can be made</w:t>
      </w:r>
      <w:r w:rsidR="00741372">
        <w:t xml:space="preserve"> and where </w:t>
      </w:r>
      <w:r w:rsidR="009835D7">
        <w:t>methods</w:t>
      </w:r>
      <w:r w:rsidR="00741372">
        <w:t xml:space="preserve"> can be streamlined</w:t>
      </w:r>
      <w:r w:rsidR="009F721E">
        <w:t>. Initial discussions with key experts indicate that this pre-conflation process is where most confusion and difficulties emanate f</w:t>
      </w:r>
      <w:r w:rsidR="009231BB">
        <w:t>rom.</w:t>
      </w:r>
    </w:p>
    <w:p w14:paraId="4685AC12" w14:textId="77777777" w:rsidR="00C324AC" w:rsidRPr="00C324AC" w:rsidRDefault="00C324AC" w:rsidP="00C324AC">
      <w:pPr>
        <w:pStyle w:val="Heading2"/>
        <w:rPr>
          <w:b/>
        </w:rPr>
      </w:pPr>
      <w:r w:rsidRPr="00C324AC">
        <w:rPr>
          <w:b/>
        </w:rPr>
        <w:t>Pilot Study Area</w:t>
      </w:r>
    </w:p>
    <w:p w14:paraId="11271352" w14:textId="103D388A" w:rsidR="00C324AC" w:rsidRDefault="00F71CAD" w:rsidP="00EE6B8D">
      <w:r>
        <w:t>Lidar d</w:t>
      </w:r>
      <w:r w:rsidR="00571AC2">
        <w:t xml:space="preserve">ata </w:t>
      </w:r>
      <w:r>
        <w:t>that was collected in 2013 for</w:t>
      </w:r>
      <w:r w:rsidR="00571AC2">
        <w:t xml:space="preserve"> the Moonlight Fire</w:t>
      </w:r>
      <w:r>
        <w:t xml:space="preserve"> area </w:t>
      </w:r>
      <w:r w:rsidR="00571AC2">
        <w:t>will provide a pilot s</w:t>
      </w:r>
      <w:r w:rsidR="001D22D8">
        <w:t xml:space="preserve">tudy area to test the workflow when necessary. </w:t>
      </w:r>
      <w:r w:rsidR="009B1372">
        <w:t xml:space="preserve">The Moonlight Fire burned </w:t>
      </w:r>
      <w:r w:rsidR="00215E8A">
        <w:t>over</w:t>
      </w:r>
      <w:r w:rsidR="009B1372">
        <w:t xml:space="preserve"> </w:t>
      </w:r>
      <w:r w:rsidR="00510DC7">
        <w:t>65,000</w:t>
      </w:r>
      <w:r w:rsidR="009B1372">
        <w:t xml:space="preserve"> acres on the Plumas National Forest in northern California</w:t>
      </w:r>
      <w:r w:rsidR="00C24454">
        <w:t xml:space="preserve"> (</w:t>
      </w:r>
      <w:r w:rsidR="00725228">
        <w:t>f</w:t>
      </w:r>
      <w:r w:rsidR="00C24454">
        <w:t>igure 1)</w:t>
      </w:r>
      <w:r w:rsidR="009B1372">
        <w:t xml:space="preserve"> in September</w:t>
      </w:r>
      <w:r w:rsidR="00510DC7">
        <w:t>,</w:t>
      </w:r>
      <w:r>
        <w:t xml:space="preserve"> 2007. This burned area is the focus of a restoration strategy that is aimed at </w:t>
      </w:r>
      <w:r w:rsidR="00661913">
        <w:t>restoring and promoting healthy and resilient ecosystems.</w:t>
      </w:r>
    </w:p>
    <w:p w14:paraId="075452D0" w14:textId="22807557" w:rsidR="00215E8A" w:rsidRDefault="00661913" w:rsidP="00215E8A">
      <w:pPr>
        <w:keepNext/>
      </w:pPr>
      <w:r>
        <w:rPr>
          <w:noProof/>
        </w:rPr>
        <w:lastRenderedPageBreak/>
        <w:drawing>
          <wp:inline distT="0" distB="0" distL="0" distR="0" wp14:anchorId="35225DC7" wp14:editId="3D6D1DFB">
            <wp:extent cx="4657725" cy="4095750"/>
            <wp:effectExtent l="0" t="0" r="9525" b="0"/>
            <wp:docPr id="2" name="Picture 2" descr="Location map of Moolight F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FC263" w14:textId="493FA611" w:rsidR="003C7F74" w:rsidRPr="00C324AC" w:rsidRDefault="00215E8A" w:rsidP="00215E8A">
      <w:pPr>
        <w:pStyle w:val="Caption"/>
      </w:pPr>
      <w:r>
        <w:t xml:space="preserve">Figure </w:t>
      </w:r>
      <w:fldSimple w:instr=" SEQ Figure \* ARABIC ">
        <w:r w:rsidR="00627497">
          <w:rPr>
            <w:noProof/>
          </w:rPr>
          <w:t>1</w:t>
        </w:r>
      </w:fldSimple>
      <w:r>
        <w:t xml:space="preserve">: Moonlight Fire </w:t>
      </w:r>
      <w:r w:rsidR="00661913">
        <w:t>Location Map (Credit: Moonlight Fire Restoration Strategy, USDA Forest Service).</w:t>
      </w:r>
    </w:p>
    <w:p w14:paraId="231CF008" w14:textId="77777777" w:rsidR="00C324AC" w:rsidRPr="00C324AC" w:rsidRDefault="00C324AC" w:rsidP="00C324AC">
      <w:pPr>
        <w:pStyle w:val="Heading2"/>
        <w:rPr>
          <w:b/>
          <w:bCs/>
        </w:rPr>
      </w:pPr>
      <w:r w:rsidRPr="00C324AC">
        <w:rPr>
          <w:b/>
          <w:bCs/>
        </w:rPr>
        <w:t>Project Components</w:t>
      </w:r>
    </w:p>
    <w:p w14:paraId="28312213" w14:textId="77777777" w:rsidR="00C324AC" w:rsidRPr="00C324AC" w:rsidRDefault="00C324AC" w:rsidP="00C324AC">
      <w:r w:rsidRPr="00C324AC">
        <w:t>The project will proceed as outlined below.</w:t>
      </w:r>
    </w:p>
    <w:p w14:paraId="7FF4EB18" w14:textId="77777777" w:rsidR="00451382" w:rsidRDefault="00451382" w:rsidP="00C324AC">
      <w:pPr>
        <w:pStyle w:val="Heading3"/>
      </w:pPr>
      <w:r>
        <w:t>Phase 1 – Project Planning</w:t>
      </w:r>
    </w:p>
    <w:p w14:paraId="71EC00C3" w14:textId="77777777" w:rsidR="00451382" w:rsidRDefault="00451382" w:rsidP="00451382">
      <w:r>
        <w:t>Review project proposal and hold kick-off meeting with proposer and potential cooperators. Put together project plan and get approval from all team members.</w:t>
      </w:r>
    </w:p>
    <w:p w14:paraId="05E61B39" w14:textId="77777777" w:rsidR="00C324AC" w:rsidRPr="00C324AC" w:rsidRDefault="00451382" w:rsidP="00C324AC">
      <w:pPr>
        <w:pStyle w:val="Heading3"/>
      </w:pPr>
      <w:r>
        <w:t>Phase 2</w:t>
      </w:r>
      <w:r w:rsidR="00C324AC" w:rsidRPr="00C324AC">
        <w:t xml:space="preserve"> – </w:t>
      </w:r>
      <w:r>
        <w:t>Literature Review and Consultation</w:t>
      </w:r>
    </w:p>
    <w:p w14:paraId="67AF2036" w14:textId="0B8ACAB1" w:rsidR="00C324AC" w:rsidRPr="00C324AC" w:rsidRDefault="00C324AC" w:rsidP="00C324AC">
      <w:r w:rsidRPr="00C324AC">
        <w:t xml:space="preserve">Review </w:t>
      </w:r>
      <w:r w:rsidR="00451382">
        <w:t xml:space="preserve">literature on </w:t>
      </w:r>
      <w:r w:rsidRPr="00C324AC">
        <w:t xml:space="preserve">current methods for </w:t>
      </w:r>
      <w:r w:rsidR="00380395">
        <w:t xml:space="preserve">preprocessing </w:t>
      </w:r>
      <w:r w:rsidR="00451382">
        <w:t>data for</w:t>
      </w:r>
      <w:r w:rsidR="00B2673B">
        <w:t xml:space="preserve"> the USGS GeoConflation tool. </w:t>
      </w:r>
      <w:r w:rsidR="003F0BFD">
        <w:t>Consult with experts from the USFS and USGS to learn more about best practices f</w:t>
      </w:r>
      <w:r w:rsidR="00451382">
        <w:t xml:space="preserve">or using the GeoConflation tool, </w:t>
      </w:r>
      <w:r w:rsidR="003F0BFD">
        <w:t>preprocessing data for it</w:t>
      </w:r>
      <w:r w:rsidR="00FB3EE1">
        <w:t xml:space="preserve">, and potential improvements that can be made to </w:t>
      </w:r>
      <w:r w:rsidR="002B2AAE">
        <w:t>preprocessing steps</w:t>
      </w:r>
      <w:r w:rsidR="009231BB">
        <w:t>.</w:t>
      </w:r>
    </w:p>
    <w:p w14:paraId="4473B4E6" w14:textId="77777777" w:rsidR="00C324AC" w:rsidRPr="00C324AC" w:rsidRDefault="00451382" w:rsidP="00C324AC">
      <w:pPr>
        <w:pStyle w:val="Heading3"/>
      </w:pPr>
      <w:r>
        <w:t>Phase 3</w:t>
      </w:r>
      <w:r w:rsidR="00C324AC" w:rsidRPr="00C324AC">
        <w:t xml:space="preserve"> – </w:t>
      </w:r>
      <w:r w:rsidR="00B2673B">
        <w:t>Develop/Refine Workflow</w:t>
      </w:r>
    </w:p>
    <w:p w14:paraId="25EFAA02" w14:textId="50C932C2" w:rsidR="00C324AC" w:rsidRPr="00C324AC" w:rsidRDefault="00B2673B" w:rsidP="00C324AC">
      <w:r>
        <w:t xml:space="preserve">After consulting with NHD experts in the USFS and USGS, </w:t>
      </w:r>
      <w:r w:rsidR="003F0BFD">
        <w:t xml:space="preserve">we will identify the most efficient workflow for preparing data for the GeoConflation tool and then create instructional material </w:t>
      </w:r>
      <w:r w:rsidR="00C24454">
        <w:t xml:space="preserve">(such as step-by-step exercises) </w:t>
      </w:r>
      <w:r w:rsidR="003F0BFD">
        <w:t xml:space="preserve">that document the </w:t>
      </w:r>
      <w:r w:rsidR="009231BB">
        <w:t>necessary steps.</w:t>
      </w:r>
      <w:r w:rsidR="00661913">
        <w:t xml:space="preserve"> </w:t>
      </w:r>
      <w:r w:rsidR="006E0E75">
        <w:t xml:space="preserve">The target audience will be analysts that are interested in providing batch updates to the NHD. </w:t>
      </w:r>
    </w:p>
    <w:p w14:paraId="7659C905" w14:textId="77777777" w:rsidR="00C324AC" w:rsidRPr="00C324AC" w:rsidRDefault="00451382" w:rsidP="00C324AC">
      <w:pPr>
        <w:pStyle w:val="Heading3"/>
      </w:pPr>
      <w:r>
        <w:lastRenderedPageBreak/>
        <w:t>Phase 4</w:t>
      </w:r>
      <w:r w:rsidR="00C324AC" w:rsidRPr="00C324AC">
        <w:t xml:space="preserve"> – Technology Transfer</w:t>
      </w:r>
    </w:p>
    <w:p w14:paraId="6D81AACB" w14:textId="77777777" w:rsidR="00C324AC" w:rsidRPr="00C324AC" w:rsidRDefault="00C324AC" w:rsidP="00C324AC">
      <w:r w:rsidRPr="00C324AC">
        <w:t>Techniques and methods will be shared with cooperators</w:t>
      </w:r>
      <w:r w:rsidR="00C12BE2">
        <w:t xml:space="preserve"> and other key </w:t>
      </w:r>
      <w:r w:rsidR="003F0BFD">
        <w:t>personnel via webinar and technical consultation via email and phone.</w:t>
      </w:r>
    </w:p>
    <w:p w14:paraId="22820FD4" w14:textId="77777777" w:rsidR="00C324AC" w:rsidRPr="00C324AC" w:rsidRDefault="00451382" w:rsidP="00C324AC">
      <w:pPr>
        <w:pStyle w:val="Heading3"/>
      </w:pPr>
      <w:r>
        <w:t>Phase 5</w:t>
      </w:r>
      <w:r w:rsidR="00C324AC" w:rsidRPr="00C324AC">
        <w:t xml:space="preserve"> – </w:t>
      </w:r>
      <w:r>
        <w:t>Project Report and Closeo</w:t>
      </w:r>
      <w:r w:rsidR="00C12BE2">
        <w:t>ut</w:t>
      </w:r>
    </w:p>
    <w:p w14:paraId="72A60903" w14:textId="045441A9" w:rsidR="00C324AC" w:rsidRPr="00C324AC" w:rsidRDefault="00C12BE2" w:rsidP="00C324AC">
      <w:r>
        <w:t xml:space="preserve">The results of this project will be captured in a </w:t>
      </w:r>
      <w:r w:rsidR="00612ADC">
        <w:t xml:space="preserve">Tip </w:t>
      </w:r>
      <w:r w:rsidR="00451382">
        <w:t>r</w:t>
      </w:r>
      <w:r>
        <w:t xml:space="preserve">eport that </w:t>
      </w:r>
      <w:r w:rsidR="00612ADC">
        <w:t xml:space="preserve">highlights </w:t>
      </w:r>
      <w:r>
        <w:t>the outcomes and workflow developed for this project. Once th</w:t>
      </w:r>
      <w:r w:rsidR="00451382">
        <w:t xml:space="preserve">e </w:t>
      </w:r>
      <w:r w:rsidR="00612ADC">
        <w:t xml:space="preserve">Tip </w:t>
      </w:r>
      <w:r w:rsidR="00451382">
        <w:t>report is finalized, a closeo</w:t>
      </w:r>
      <w:r>
        <w:t>ut meeting will be held</w:t>
      </w:r>
      <w:r w:rsidR="00451382">
        <w:t xml:space="preserve"> with all cooperators</w:t>
      </w:r>
      <w:r w:rsidR="009231BB">
        <w:t xml:space="preserve"> to formally end the project.</w:t>
      </w:r>
    </w:p>
    <w:p w14:paraId="451CD830" w14:textId="5A0BCA37" w:rsidR="000D653A" w:rsidRPr="000D653A" w:rsidRDefault="000D653A" w:rsidP="000D653A">
      <w:pPr>
        <w:pStyle w:val="Heading2"/>
        <w:rPr>
          <w:b/>
        </w:rPr>
      </w:pPr>
      <w:r>
        <w:rPr>
          <w:b/>
        </w:rPr>
        <w:t>Deliverables</w:t>
      </w:r>
    </w:p>
    <w:p w14:paraId="2F67B302" w14:textId="62AFE102" w:rsidR="000D653A" w:rsidRDefault="000D653A" w:rsidP="000D653A">
      <w:pPr>
        <w:pStyle w:val="ListParagraph"/>
        <w:numPr>
          <w:ilvl w:val="0"/>
          <w:numId w:val="10"/>
        </w:numPr>
      </w:pPr>
      <w:r w:rsidRPr="000D653A">
        <w:t>Tip Report</w:t>
      </w:r>
    </w:p>
    <w:p w14:paraId="7D423C88" w14:textId="2E674A5F" w:rsidR="0031454D" w:rsidRDefault="0031454D" w:rsidP="000D653A">
      <w:pPr>
        <w:pStyle w:val="ListParagraph"/>
        <w:numPr>
          <w:ilvl w:val="0"/>
          <w:numId w:val="10"/>
        </w:numPr>
      </w:pPr>
      <w:r>
        <w:t>Moonlight Fire flowlines preprocessed for GeoConflation tool</w:t>
      </w:r>
    </w:p>
    <w:p w14:paraId="3CC00AB3" w14:textId="0150B547" w:rsidR="0031454D" w:rsidRPr="000D653A" w:rsidRDefault="00FE5DAC" w:rsidP="000D653A">
      <w:pPr>
        <w:pStyle w:val="ListParagraph"/>
        <w:numPr>
          <w:ilvl w:val="0"/>
          <w:numId w:val="10"/>
        </w:numPr>
      </w:pPr>
      <w:r>
        <w:t>Step-by-step instructions</w:t>
      </w:r>
      <w:r w:rsidR="0031454D">
        <w:t xml:space="preserve"> outlining necessary preprocessing steps for GeoConflation tool</w:t>
      </w:r>
    </w:p>
    <w:p w14:paraId="66B49F7D" w14:textId="77777777" w:rsidR="00C324AC" w:rsidRPr="00C324AC" w:rsidRDefault="00C324AC" w:rsidP="00C324AC">
      <w:pPr>
        <w:pStyle w:val="Heading2"/>
        <w:rPr>
          <w:b/>
          <w:bCs/>
        </w:rPr>
      </w:pPr>
      <w:r w:rsidRPr="00C324AC">
        <w:rPr>
          <w:b/>
          <w:bCs/>
        </w:rPr>
        <w:t>Risk Management Plan</w:t>
      </w:r>
    </w:p>
    <w:p w14:paraId="3A5771BA" w14:textId="7019AF30" w:rsidR="00C324AC" w:rsidRDefault="00C324AC" w:rsidP="00C324AC">
      <w:r w:rsidRPr="00C324AC">
        <w:t>The following risk</w:t>
      </w:r>
      <w:r w:rsidR="006D6B05">
        <w:t>s</w:t>
      </w:r>
      <w:r w:rsidRPr="00C324AC">
        <w:t xml:space="preserve"> could potentially affect the ability to complete this project as outlined:</w:t>
      </w:r>
    </w:p>
    <w:p w14:paraId="50672C8C" w14:textId="1360D665" w:rsidR="003633DC" w:rsidRDefault="00BD5768" w:rsidP="000D653A">
      <w:pPr>
        <w:pStyle w:val="ListParagraph"/>
        <w:numPr>
          <w:ilvl w:val="0"/>
          <w:numId w:val="8"/>
        </w:numPr>
      </w:pPr>
      <w:r>
        <w:t xml:space="preserve">One of the risks is the time commitment for both the USGS and </w:t>
      </w:r>
      <w:r w:rsidR="00741372">
        <w:t>GTAC</w:t>
      </w:r>
      <w:r>
        <w:t xml:space="preserve"> to engage in training that is required to gain access to and use the GeoConflation Tool. The timing of the potential webinar trai</w:t>
      </w:r>
      <w:r w:rsidR="00672529">
        <w:t>ning and the availability of NHD stewardship/GeoConflation experts may impact the esti</w:t>
      </w:r>
      <w:r w:rsidR="00C24454">
        <w:t>mated completion date of Phase 2</w:t>
      </w:r>
      <w:r w:rsidR="008E0A72">
        <w:t>.</w:t>
      </w:r>
      <w:r w:rsidR="000D653A">
        <w:t xml:space="preserve"> </w:t>
      </w:r>
      <w:r w:rsidR="008E0A72">
        <w:t>The risk of this happening is moderate and the impact on the overall effort is low</w:t>
      </w:r>
      <w:r w:rsidR="00672529">
        <w:t>.</w:t>
      </w:r>
      <w:r w:rsidR="008E0A72">
        <w:t xml:space="preserve"> If the presentations and meetings with the USGS are delayed, phase 2 may be completed at a later date. </w:t>
      </w:r>
      <w:r w:rsidR="002C43C6">
        <w:t xml:space="preserve">To mitigate this potential risk, the estimated completion date for Phase 3 is set to 7/1/2018, which gives ample time for completion, especially considering that the phase should take about 6.5 weeks. </w:t>
      </w:r>
    </w:p>
    <w:p w14:paraId="47B2B4F3" w14:textId="173B561D" w:rsidR="00B2673B" w:rsidRPr="00C324AC" w:rsidRDefault="00BD5768" w:rsidP="000D653A">
      <w:pPr>
        <w:pStyle w:val="ListParagraph"/>
        <w:numPr>
          <w:ilvl w:val="0"/>
          <w:numId w:val="8"/>
        </w:numPr>
      </w:pPr>
      <w:r>
        <w:t xml:space="preserve">Another potential risk is that bulk updating attribute information </w:t>
      </w:r>
      <w:r w:rsidR="008E0A72">
        <w:t xml:space="preserve">and the QA/QC processes </w:t>
      </w:r>
      <w:r>
        <w:t xml:space="preserve">that </w:t>
      </w:r>
      <w:r w:rsidR="008E0A72">
        <w:t>are</w:t>
      </w:r>
      <w:r>
        <w:t xml:space="preserve"> </w:t>
      </w:r>
      <w:r w:rsidR="00B2673B">
        <w:t>necessary for</w:t>
      </w:r>
      <w:r>
        <w:t xml:space="preserve"> data</w:t>
      </w:r>
      <w:r w:rsidR="00B2673B">
        <w:t xml:space="preserve"> ingestion to</w:t>
      </w:r>
      <w:r>
        <w:t xml:space="preserve"> the</w:t>
      </w:r>
      <w:r w:rsidR="00B2673B">
        <w:t xml:space="preserve"> GeoConflation</w:t>
      </w:r>
      <w:r w:rsidR="00510DC7">
        <w:t xml:space="preserve"> Tool may be </w:t>
      </w:r>
      <w:r w:rsidR="00B2673B">
        <w:t>somewhat manual process</w:t>
      </w:r>
      <w:r w:rsidR="008E0A72">
        <w:t>es</w:t>
      </w:r>
      <w:r w:rsidR="00B2673B">
        <w:t xml:space="preserve"> that may not be suitable for an efficient b</w:t>
      </w:r>
      <w:r w:rsidR="009231BB">
        <w:t>ulk processing/update workflow.</w:t>
      </w:r>
      <w:r w:rsidR="008E0A72">
        <w:t xml:space="preserve"> The likelihood of this occurring is moderate and the impact on the project will be moderate. If this </w:t>
      </w:r>
      <w:r w:rsidR="002C43C6">
        <w:t>risk is realized</w:t>
      </w:r>
      <w:r w:rsidR="008E0A72">
        <w:t xml:space="preserve">, then the manual process will need to be detailed in such a way that the workflow is </w:t>
      </w:r>
      <w:r w:rsidR="002C43C6">
        <w:t xml:space="preserve">clearly </w:t>
      </w:r>
      <w:r w:rsidR="008E0A72">
        <w:t>communicated</w:t>
      </w:r>
      <w:r w:rsidR="002C43C6">
        <w:t xml:space="preserve"> and</w:t>
      </w:r>
      <w:r w:rsidR="008E0A72">
        <w:t xml:space="preserve"> more transparent for stewards and NHD users in general. </w:t>
      </w:r>
    </w:p>
    <w:p w14:paraId="2DD4B9F3" w14:textId="77777777" w:rsidR="00C324AC" w:rsidRPr="00C324AC" w:rsidRDefault="00C324AC" w:rsidP="00C324AC">
      <w:pPr>
        <w:pStyle w:val="Heading2"/>
        <w:rPr>
          <w:b/>
          <w:bCs/>
        </w:rPr>
      </w:pPr>
      <w:r w:rsidRPr="00C324AC">
        <w:rPr>
          <w:b/>
          <w:bCs/>
        </w:rPr>
        <w:t>Project Funding and Schedule</w:t>
      </w:r>
    </w:p>
    <w:p w14:paraId="54EE79CA" w14:textId="6E5272D3" w:rsidR="00C324AC" w:rsidRDefault="00C324AC" w:rsidP="003127C8">
      <w:r>
        <w:t>This</w:t>
      </w:r>
      <w:r w:rsidRPr="00C324AC">
        <w:t xml:space="preserve"> project is funded for </w:t>
      </w:r>
      <w:r w:rsidR="00C12BE2">
        <w:t>11</w:t>
      </w:r>
      <w:r w:rsidRPr="00C324AC">
        <w:t xml:space="preserve"> weeks of </w:t>
      </w:r>
      <w:r w:rsidR="0079346B">
        <w:t>RedCastle</w:t>
      </w:r>
      <w:r w:rsidRPr="00C324AC">
        <w:t xml:space="preserve"> staff time. Project activities will begin in </w:t>
      </w:r>
      <w:r w:rsidR="00C12BE2">
        <w:t>January</w:t>
      </w:r>
      <w:r w:rsidR="00510DC7">
        <w:t>,</w:t>
      </w:r>
      <w:r w:rsidR="00C12BE2">
        <w:t xml:space="preserve"> 2018</w:t>
      </w:r>
      <w:r w:rsidRPr="00C324AC">
        <w:t xml:space="preserve"> and will continue through </w:t>
      </w:r>
      <w:r w:rsidR="00C12BE2">
        <w:t>September</w:t>
      </w:r>
      <w:r w:rsidR="00510DC7">
        <w:t>,</w:t>
      </w:r>
      <w:r w:rsidR="00C12BE2">
        <w:t xml:space="preserve"> 2018</w:t>
      </w:r>
      <w:r w:rsidRPr="00C324AC">
        <w:t xml:space="preserve">. The project will be completed by </w:t>
      </w:r>
      <w:r w:rsidR="00C12BE2">
        <w:t>October</w:t>
      </w:r>
      <w:r w:rsidR="00510DC7">
        <w:t>,</w:t>
      </w:r>
      <w:r w:rsidR="00C12BE2">
        <w:t xml:space="preserve"> 2018</w:t>
      </w:r>
      <w:r w:rsidRPr="00C324AC">
        <w:t>. Below is a table that lists project activities and their estimated completion dates.</w:t>
      </w:r>
    </w:p>
    <w:tbl>
      <w:tblPr>
        <w:tblStyle w:val="GridTable1Light"/>
        <w:tblW w:w="9578" w:type="dxa"/>
        <w:tblLayout w:type="fixed"/>
        <w:tblLook w:val="04A0" w:firstRow="1" w:lastRow="0" w:firstColumn="1" w:lastColumn="0" w:noHBand="0" w:noVBand="1"/>
        <w:tblDescription w:val="Table of project schedule."/>
      </w:tblPr>
      <w:tblGrid>
        <w:gridCol w:w="3055"/>
        <w:gridCol w:w="1553"/>
        <w:gridCol w:w="1440"/>
        <w:gridCol w:w="1622"/>
        <w:gridCol w:w="1908"/>
      </w:tblGrid>
      <w:tr w:rsidR="00451382" w:rsidRPr="00C324AC" w14:paraId="61D5FD90" w14:textId="77777777" w:rsidTr="00451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BC32468" w14:textId="77777777" w:rsidR="00451382" w:rsidRPr="00C324AC" w:rsidRDefault="00451382" w:rsidP="005228AC">
            <w:r w:rsidRPr="00C324AC">
              <w:t>Schedule of Tasks</w:t>
            </w:r>
          </w:p>
        </w:tc>
        <w:tc>
          <w:tcPr>
            <w:tcW w:w="1553" w:type="dxa"/>
          </w:tcPr>
          <w:p w14:paraId="68588471" w14:textId="77777777" w:rsidR="00451382" w:rsidRPr="00C324AC" w:rsidRDefault="00451382" w:rsidP="005228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324AC">
              <w:t>Primary Lead</w:t>
            </w:r>
          </w:p>
        </w:tc>
        <w:tc>
          <w:tcPr>
            <w:tcW w:w="1440" w:type="dxa"/>
          </w:tcPr>
          <w:p w14:paraId="26DDDB03" w14:textId="77777777" w:rsidR="00451382" w:rsidRPr="00C324AC" w:rsidRDefault="00451382" w:rsidP="005228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324AC">
              <w:t>Estimated Duration (Weeks)</w:t>
            </w:r>
          </w:p>
        </w:tc>
        <w:tc>
          <w:tcPr>
            <w:tcW w:w="1622" w:type="dxa"/>
          </w:tcPr>
          <w:p w14:paraId="2827D483" w14:textId="77777777" w:rsidR="00451382" w:rsidRPr="00C324AC" w:rsidRDefault="00451382" w:rsidP="005228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324AC">
              <w:t>Estimated Completion Date</w:t>
            </w:r>
          </w:p>
        </w:tc>
        <w:tc>
          <w:tcPr>
            <w:tcW w:w="1908" w:type="dxa"/>
          </w:tcPr>
          <w:p w14:paraId="1B1077F0" w14:textId="77777777" w:rsidR="00451382" w:rsidRPr="00C324AC" w:rsidRDefault="00451382" w:rsidP="005228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324AC">
              <w:t>Comments</w:t>
            </w:r>
          </w:p>
        </w:tc>
      </w:tr>
      <w:tr w:rsidR="00451382" w:rsidRPr="00C324AC" w14:paraId="2C7E071F" w14:textId="77777777" w:rsidTr="00451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96D732C" w14:textId="2A374E57" w:rsidR="00451382" w:rsidRPr="00C324AC" w:rsidRDefault="0042550D" w:rsidP="005228AC">
            <w:r>
              <w:t xml:space="preserve">Phase 1: </w:t>
            </w:r>
            <w:r w:rsidR="00451382" w:rsidRPr="00C324AC">
              <w:t>Project Planning</w:t>
            </w:r>
          </w:p>
        </w:tc>
        <w:tc>
          <w:tcPr>
            <w:tcW w:w="1553" w:type="dxa"/>
          </w:tcPr>
          <w:p w14:paraId="26E85479" w14:textId="77777777" w:rsidR="00451382" w:rsidRPr="00C324AC" w:rsidRDefault="00451382" w:rsidP="00522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24AC">
              <w:t>All</w:t>
            </w:r>
          </w:p>
        </w:tc>
        <w:tc>
          <w:tcPr>
            <w:tcW w:w="1440" w:type="dxa"/>
          </w:tcPr>
          <w:p w14:paraId="39FD789B" w14:textId="77777777" w:rsidR="00451382" w:rsidRPr="00C324AC" w:rsidRDefault="00451382" w:rsidP="00522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24AC">
              <w:t>0.5</w:t>
            </w:r>
          </w:p>
        </w:tc>
        <w:tc>
          <w:tcPr>
            <w:tcW w:w="1622" w:type="dxa"/>
          </w:tcPr>
          <w:p w14:paraId="4C089332" w14:textId="77777777" w:rsidR="00451382" w:rsidRPr="00C324AC" w:rsidRDefault="00451382" w:rsidP="00522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2/15/2018</w:t>
            </w:r>
          </w:p>
        </w:tc>
        <w:tc>
          <w:tcPr>
            <w:tcW w:w="1908" w:type="dxa"/>
          </w:tcPr>
          <w:p w14:paraId="0003CA8C" w14:textId="77777777" w:rsidR="00451382" w:rsidRPr="00C324AC" w:rsidRDefault="00451382" w:rsidP="00522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1382" w:rsidRPr="00C324AC" w14:paraId="5EFBDD87" w14:textId="77777777" w:rsidTr="00451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9E3F4D2" w14:textId="67951C2E" w:rsidR="00451382" w:rsidRPr="00C324AC" w:rsidRDefault="0042550D" w:rsidP="005228AC">
            <w:r>
              <w:lastRenderedPageBreak/>
              <w:t xml:space="preserve">Phase 2: </w:t>
            </w:r>
            <w:r w:rsidR="00451382">
              <w:t>Literature Review and Consultation</w:t>
            </w:r>
          </w:p>
        </w:tc>
        <w:tc>
          <w:tcPr>
            <w:tcW w:w="1553" w:type="dxa"/>
          </w:tcPr>
          <w:p w14:paraId="39340BAC" w14:textId="77777777" w:rsidR="00451382" w:rsidRPr="00C324AC" w:rsidRDefault="00451382" w:rsidP="00522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GTAC &amp; Cooperators</w:t>
            </w:r>
          </w:p>
        </w:tc>
        <w:tc>
          <w:tcPr>
            <w:tcW w:w="1440" w:type="dxa"/>
          </w:tcPr>
          <w:p w14:paraId="1CB08C98" w14:textId="69A87500" w:rsidR="00451382" w:rsidRPr="00C324AC" w:rsidRDefault="000D653A" w:rsidP="00522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1.5</w:t>
            </w:r>
          </w:p>
        </w:tc>
        <w:tc>
          <w:tcPr>
            <w:tcW w:w="1622" w:type="dxa"/>
          </w:tcPr>
          <w:p w14:paraId="3C0E6528" w14:textId="77777777" w:rsidR="00451382" w:rsidRPr="00C324AC" w:rsidRDefault="00451382" w:rsidP="00522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3/15/2018</w:t>
            </w:r>
          </w:p>
        </w:tc>
        <w:tc>
          <w:tcPr>
            <w:tcW w:w="1908" w:type="dxa"/>
          </w:tcPr>
          <w:p w14:paraId="0F4B8361" w14:textId="77777777" w:rsidR="00451382" w:rsidRPr="00C324AC" w:rsidRDefault="00451382" w:rsidP="00522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1382" w:rsidRPr="00C324AC" w14:paraId="5C20B959" w14:textId="77777777" w:rsidTr="00451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F6E7435" w14:textId="5560681E" w:rsidR="00451382" w:rsidRPr="00C324AC" w:rsidRDefault="0042550D" w:rsidP="005228AC">
            <w:r>
              <w:t xml:space="preserve">Phase 3: </w:t>
            </w:r>
            <w:r w:rsidR="00451382">
              <w:t>Develop and Refine Workflow</w:t>
            </w:r>
          </w:p>
        </w:tc>
        <w:tc>
          <w:tcPr>
            <w:tcW w:w="1553" w:type="dxa"/>
          </w:tcPr>
          <w:p w14:paraId="4B6D123C" w14:textId="77777777" w:rsidR="00451382" w:rsidRPr="00C324AC" w:rsidRDefault="00451382" w:rsidP="00522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GTAC</w:t>
            </w:r>
          </w:p>
        </w:tc>
        <w:tc>
          <w:tcPr>
            <w:tcW w:w="1440" w:type="dxa"/>
          </w:tcPr>
          <w:p w14:paraId="326160BD" w14:textId="091204C6" w:rsidR="00451382" w:rsidRPr="00C324AC" w:rsidRDefault="000D653A" w:rsidP="00522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6.5</w:t>
            </w:r>
          </w:p>
        </w:tc>
        <w:tc>
          <w:tcPr>
            <w:tcW w:w="1622" w:type="dxa"/>
          </w:tcPr>
          <w:p w14:paraId="5CC8FD70" w14:textId="77777777" w:rsidR="00451382" w:rsidRPr="00C324AC" w:rsidRDefault="00FB3EE1" w:rsidP="00522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="00451382">
              <w:t>/1/2018</w:t>
            </w:r>
          </w:p>
        </w:tc>
        <w:tc>
          <w:tcPr>
            <w:tcW w:w="1908" w:type="dxa"/>
          </w:tcPr>
          <w:p w14:paraId="25AF962B" w14:textId="77777777" w:rsidR="00451382" w:rsidRPr="00C324AC" w:rsidRDefault="00451382" w:rsidP="00522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1382" w:rsidRPr="00C324AC" w14:paraId="292FD40B" w14:textId="77777777" w:rsidTr="00451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E738157" w14:textId="752C4CA2" w:rsidR="00451382" w:rsidRPr="00C324AC" w:rsidRDefault="0042550D" w:rsidP="005228AC">
            <w:r>
              <w:t xml:space="preserve">Phase 4: </w:t>
            </w:r>
            <w:r w:rsidR="00451382">
              <w:t>Technology Transfer</w:t>
            </w:r>
          </w:p>
        </w:tc>
        <w:tc>
          <w:tcPr>
            <w:tcW w:w="1553" w:type="dxa"/>
          </w:tcPr>
          <w:p w14:paraId="6035EA07" w14:textId="77777777" w:rsidR="00451382" w:rsidRPr="00C324AC" w:rsidRDefault="00451382" w:rsidP="00BD5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GTAC &amp; Cooperators</w:t>
            </w:r>
          </w:p>
        </w:tc>
        <w:tc>
          <w:tcPr>
            <w:tcW w:w="1440" w:type="dxa"/>
          </w:tcPr>
          <w:p w14:paraId="0F5FFF77" w14:textId="77777777" w:rsidR="00451382" w:rsidRPr="00C324AC" w:rsidRDefault="00451382" w:rsidP="00522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0.5</w:t>
            </w:r>
          </w:p>
        </w:tc>
        <w:tc>
          <w:tcPr>
            <w:tcW w:w="1622" w:type="dxa"/>
          </w:tcPr>
          <w:p w14:paraId="70D82170" w14:textId="77777777" w:rsidR="00451382" w:rsidRPr="00C324AC" w:rsidRDefault="00FB3EE1" w:rsidP="00522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="00451382">
              <w:t>/1/2018</w:t>
            </w:r>
          </w:p>
        </w:tc>
        <w:tc>
          <w:tcPr>
            <w:tcW w:w="1908" w:type="dxa"/>
          </w:tcPr>
          <w:p w14:paraId="2E87C225" w14:textId="77777777" w:rsidR="00451382" w:rsidRPr="00C324AC" w:rsidRDefault="00451382" w:rsidP="00522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1382" w:rsidRPr="00C324AC" w14:paraId="5929BF1B" w14:textId="77777777" w:rsidTr="00451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E6723B" w14:textId="27E542A4" w:rsidR="00451382" w:rsidRDefault="0042550D" w:rsidP="00451382">
            <w:r>
              <w:t xml:space="preserve">Phase 5: </w:t>
            </w:r>
            <w:r w:rsidR="00451382">
              <w:t>Project Report and Closeout</w:t>
            </w:r>
          </w:p>
        </w:tc>
        <w:tc>
          <w:tcPr>
            <w:tcW w:w="1553" w:type="dxa"/>
          </w:tcPr>
          <w:p w14:paraId="65B8F8CE" w14:textId="77777777" w:rsidR="00451382" w:rsidRPr="00C324AC" w:rsidRDefault="00451382" w:rsidP="00522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GTAC</w:t>
            </w:r>
          </w:p>
        </w:tc>
        <w:tc>
          <w:tcPr>
            <w:tcW w:w="1440" w:type="dxa"/>
          </w:tcPr>
          <w:p w14:paraId="042DD998" w14:textId="51442652" w:rsidR="00451382" w:rsidRPr="00C324AC" w:rsidRDefault="000D653A" w:rsidP="00522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2.0</w:t>
            </w:r>
          </w:p>
        </w:tc>
        <w:tc>
          <w:tcPr>
            <w:tcW w:w="1622" w:type="dxa"/>
          </w:tcPr>
          <w:p w14:paraId="6E015F21" w14:textId="77777777" w:rsidR="00451382" w:rsidRPr="00C324AC" w:rsidRDefault="00451382" w:rsidP="00522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10/1/2018</w:t>
            </w:r>
          </w:p>
        </w:tc>
        <w:tc>
          <w:tcPr>
            <w:tcW w:w="1908" w:type="dxa"/>
          </w:tcPr>
          <w:p w14:paraId="45AB56B2" w14:textId="77777777" w:rsidR="00451382" w:rsidRPr="00C324AC" w:rsidRDefault="00451382" w:rsidP="00522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1382" w:rsidRPr="00C324AC" w14:paraId="15BEFDBA" w14:textId="77777777" w:rsidTr="00451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19563D9" w14:textId="77777777" w:rsidR="00451382" w:rsidRPr="00C324AC" w:rsidRDefault="00451382" w:rsidP="005228AC">
            <w:pPr>
              <w:contextualSpacing/>
            </w:pPr>
            <w:r w:rsidRPr="00C324AC">
              <w:t xml:space="preserve">Total </w:t>
            </w:r>
            <w:r>
              <w:t>GTAC</w:t>
            </w:r>
            <w:r w:rsidRPr="00C324AC">
              <w:t xml:space="preserve"> Staff Time:</w:t>
            </w:r>
          </w:p>
        </w:tc>
        <w:tc>
          <w:tcPr>
            <w:tcW w:w="1553" w:type="dxa"/>
          </w:tcPr>
          <w:p w14:paraId="4B244B08" w14:textId="77777777" w:rsidR="00451382" w:rsidRPr="00C324AC" w:rsidRDefault="00451382" w:rsidP="005228A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4A5F4B85" w14:textId="77777777" w:rsidR="00451382" w:rsidRPr="00C324AC" w:rsidRDefault="00451382" w:rsidP="005228A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</w:t>
            </w:r>
          </w:p>
        </w:tc>
        <w:tc>
          <w:tcPr>
            <w:tcW w:w="1622" w:type="dxa"/>
          </w:tcPr>
          <w:p w14:paraId="44E11072" w14:textId="77777777" w:rsidR="00451382" w:rsidRPr="00C324AC" w:rsidRDefault="00451382" w:rsidP="00522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8" w:type="dxa"/>
          </w:tcPr>
          <w:p w14:paraId="0940CB2C" w14:textId="77777777" w:rsidR="00451382" w:rsidRPr="00C324AC" w:rsidRDefault="00451382" w:rsidP="00522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B187886" w14:textId="77777777" w:rsidR="008B4B27" w:rsidRDefault="008B4B27" w:rsidP="008B4B27">
      <w:r w:rsidRPr="00C324AC">
        <w:t xml:space="preserve">* Time estimates for cooperators and is not included as “Total </w:t>
      </w:r>
      <w:r>
        <w:t>GTAC</w:t>
      </w:r>
      <w:r w:rsidR="009231BB">
        <w:t xml:space="preserve"> time.”</w:t>
      </w:r>
      <w:r w:rsidRPr="00C324AC">
        <w:t xml:space="preserve"> </w:t>
      </w:r>
    </w:p>
    <w:p w14:paraId="54D4901C" w14:textId="1188CC06" w:rsidR="00C34F90" w:rsidRPr="00FE5DAC" w:rsidRDefault="00C34F90" w:rsidP="00FE5DAC">
      <w:pPr>
        <w:shd w:val="clear" w:color="auto" w:fill="FFFFFF"/>
        <w:rPr>
          <w:rFonts w:ascii="Arial" w:eastAsia="Times New Roman" w:hAnsi="Arial" w:cs="Arial"/>
          <w:sz w:val="21"/>
          <w:szCs w:val="21"/>
        </w:rPr>
      </w:pPr>
      <w:r w:rsidRPr="00FE5DAC">
        <w:rPr>
          <w:sz w:val="24"/>
        </w:rPr>
        <w:t>RASCI Matrix</w:t>
      </w:r>
      <w:r w:rsidR="00FE5DAC" w:rsidRPr="00510DC7">
        <w:rPr>
          <w:sz w:val="24"/>
          <w:szCs w:val="24"/>
        </w:rPr>
        <w:t xml:space="preserve">: </w:t>
      </w:r>
      <w:r w:rsidR="00FE5DAC" w:rsidRPr="00510DC7">
        <w:rPr>
          <w:rFonts w:eastAsia="Times New Roman" w:cs="Arial"/>
          <w:sz w:val="24"/>
          <w:szCs w:val="24"/>
        </w:rPr>
        <w:t>This chart helps to clarify the roles and responsibilities of the project members.</w:t>
      </w:r>
    </w:p>
    <w:tbl>
      <w:tblPr>
        <w:tblW w:w="9890" w:type="dxa"/>
        <w:tblLayout w:type="fixed"/>
        <w:tblLook w:val="04A0" w:firstRow="1" w:lastRow="0" w:firstColumn="1" w:lastColumn="0" w:noHBand="0" w:noVBand="1"/>
        <w:tblCaption w:val="RASCI Matrix"/>
        <w:tblDescription w:val="RASCI Matrix"/>
      </w:tblPr>
      <w:tblGrid>
        <w:gridCol w:w="1520"/>
        <w:gridCol w:w="810"/>
        <w:gridCol w:w="720"/>
        <w:gridCol w:w="630"/>
        <w:gridCol w:w="900"/>
        <w:gridCol w:w="1080"/>
        <w:gridCol w:w="990"/>
        <w:gridCol w:w="990"/>
        <w:gridCol w:w="810"/>
        <w:gridCol w:w="720"/>
        <w:gridCol w:w="720"/>
      </w:tblGrid>
      <w:tr w:rsidR="00C24454" w:rsidRPr="000415A5" w14:paraId="4798269B" w14:textId="2109AF64" w:rsidTr="00705776">
        <w:trPr>
          <w:trHeight w:val="732"/>
          <w:tblHeader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9A95D6E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0415A5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Activity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1724E4D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Eric Rounds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932DE3A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0415A5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Abbey Schaaf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F843375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0415A5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Jess Clark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</w:tcPr>
          <w:p w14:paraId="7CEC0918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Ralph Martinez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</w:tcPr>
          <w:p w14:paraId="0625DF0D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Tim Lindemann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</w:tcPr>
          <w:p w14:paraId="75EA969D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Greg Matthews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</w:tcPr>
          <w:p w14:paraId="43A0FB46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Carol Ostergren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</w:tcPr>
          <w:p w14:paraId="11D4782F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 xml:space="preserve">Ray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Postol-ovski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</w:tcPr>
          <w:p w14:paraId="1F136F0E" w14:textId="7F46AC8F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Mike Eberle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</w:tcPr>
          <w:p w14:paraId="0B9A4C40" w14:textId="180B686A" w:rsidR="00C24454" w:rsidRDefault="00C24454" w:rsidP="00C24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 xml:space="preserve">Mike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Plivel-ich</w:t>
            </w:r>
            <w:proofErr w:type="spellEnd"/>
          </w:p>
        </w:tc>
      </w:tr>
      <w:tr w:rsidR="00C24454" w:rsidRPr="000415A5" w14:paraId="7381EA38" w14:textId="396BDA37" w:rsidTr="00705776">
        <w:trPr>
          <w:trHeight w:val="588"/>
          <w:tblHeader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DDCD4" w14:textId="7B047D63" w:rsidR="00C24454" w:rsidRPr="000415A5" w:rsidRDefault="00C24454" w:rsidP="00522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Phase 1: </w:t>
            </w:r>
            <w:r w:rsidRPr="000415A5">
              <w:rPr>
                <w:rFonts w:ascii="Calibri" w:eastAsia="Times New Roman" w:hAnsi="Calibri" w:cs="Times New Roman"/>
                <w:color w:val="000000"/>
              </w:rPr>
              <w:t>Project Planning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A3EB"/>
            <w:noWrap/>
            <w:vAlign w:val="center"/>
            <w:hideMark/>
          </w:tcPr>
          <w:p w14:paraId="35DD86A9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415A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 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E75"/>
            <w:noWrap/>
            <w:vAlign w:val="center"/>
            <w:hideMark/>
          </w:tcPr>
          <w:p w14:paraId="0E83CC7A" w14:textId="2AC77CC5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8D8D"/>
            <w:noWrap/>
            <w:vAlign w:val="center"/>
            <w:hideMark/>
          </w:tcPr>
          <w:p w14:paraId="714817F1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415A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CDFF"/>
            <w:noWrap/>
            <w:vAlign w:val="center"/>
            <w:hideMark/>
          </w:tcPr>
          <w:p w14:paraId="1AC1ABD4" w14:textId="3968370F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7A3"/>
            <w:noWrap/>
            <w:vAlign w:val="center"/>
            <w:hideMark/>
          </w:tcPr>
          <w:p w14:paraId="12E9B311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7A3"/>
            <w:noWrap/>
            <w:vAlign w:val="center"/>
            <w:hideMark/>
          </w:tcPr>
          <w:p w14:paraId="2A875EDB" w14:textId="28170974" w:rsidR="00C24454" w:rsidRPr="000415A5" w:rsidRDefault="00C24454" w:rsidP="006D6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415A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CDFF"/>
            <w:vAlign w:val="center"/>
            <w:hideMark/>
          </w:tcPr>
          <w:p w14:paraId="264EBC92" w14:textId="16D2699B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E7A3"/>
            <w:vAlign w:val="center"/>
            <w:hideMark/>
          </w:tcPr>
          <w:p w14:paraId="35A4EBAE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415A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7E7A3"/>
            <w:vAlign w:val="center"/>
            <w:hideMark/>
          </w:tcPr>
          <w:p w14:paraId="12F2465C" w14:textId="279852C9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7E7A3"/>
            <w:vAlign w:val="center"/>
          </w:tcPr>
          <w:p w14:paraId="799F34D6" w14:textId="08B175AA" w:rsidR="00C24454" w:rsidRDefault="00C24454" w:rsidP="00C24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</w:tr>
      <w:tr w:rsidR="00C24454" w:rsidRPr="000415A5" w14:paraId="1439E957" w14:textId="6BBAF32B" w:rsidTr="00705776">
        <w:trPr>
          <w:trHeight w:val="588"/>
          <w:tblHeader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36C64" w14:textId="0EA122A4" w:rsidR="00C24454" w:rsidRPr="000415A5" w:rsidRDefault="00C24454" w:rsidP="00522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Phase 2: Literature Review and Consultation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A3EB"/>
            <w:noWrap/>
            <w:vAlign w:val="center"/>
            <w:hideMark/>
          </w:tcPr>
          <w:p w14:paraId="50621085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415A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75"/>
            <w:noWrap/>
            <w:vAlign w:val="center"/>
            <w:hideMark/>
          </w:tcPr>
          <w:p w14:paraId="5D209023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415A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8D8D"/>
            <w:noWrap/>
            <w:vAlign w:val="center"/>
            <w:hideMark/>
          </w:tcPr>
          <w:p w14:paraId="4546760A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415A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7A3"/>
            <w:noWrap/>
            <w:vAlign w:val="center"/>
            <w:hideMark/>
          </w:tcPr>
          <w:p w14:paraId="06C1EEB0" w14:textId="74F17B52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CDFF"/>
            <w:noWrap/>
            <w:vAlign w:val="center"/>
            <w:hideMark/>
          </w:tcPr>
          <w:p w14:paraId="58EE9ADF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415A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7A3"/>
            <w:noWrap/>
            <w:vAlign w:val="center"/>
            <w:hideMark/>
          </w:tcPr>
          <w:p w14:paraId="54B83B0C" w14:textId="609FC628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CDFF"/>
            <w:vAlign w:val="center"/>
            <w:hideMark/>
          </w:tcPr>
          <w:p w14:paraId="3ABE13A0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415A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CDFF"/>
            <w:vAlign w:val="center"/>
            <w:hideMark/>
          </w:tcPr>
          <w:p w14:paraId="2903B9EB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7E7A3"/>
            <w:vAlign w:val="center"/>
            <w:hideMark/>
          </w:tcPr>
          <w:p w14:paraId="0F002937" w14:textId="19ACADCE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BCDFF"/>
            <w:vAlign w:val="center"/>
          </w:tcPr>
          <w:p w14:paraId="7E0FBB84" w14:textId="1AFBB55B" w:rsidR="00C24454" w:rsidRDefault="00C24454" w:rsidP="00C24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C24454" w:rsidRPr="000415A5" w14:paraId="32D7587D" w14:textId="3C99C3BE" w:rsidTr="00705776">
        <w:trPr>
          <w:trHeight w:val="588"/>
          <w:tblHeader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97797" w14:textId="56BA93F1" w:rsidR="00C24454" w:rsidRPr="000415A5" w:rsidRDefault="00C24454" w:rsidP="00522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Phase 3: Develop and Refine Workflow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A3EB"/>
            <w:noWrap/>
            <w:vAlign w:val="center"/>
            <w:hideMark/>
          </w:tcPr>
          <w:p w14:paraId="422D8C2F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8D8D"/>
            <w:noWrap/>
            <w:vAlign w:val="center"/>
            <w:hideMark/>
          </w:tcPr>
          <w:p w14:paraId="6867C6FB" w14:textId="77777777" w:rsidR="00C24454" w:rsidRPr="000415A5" w:rsidRDefault="00C24454" w:rsidP="00C35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415A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E7A3"/>
            <w:noWrap/>
            <w:vAlign w:val="center"/>
            <w:hideMark/>
          </w:tcPr>
          <w:p w14:paraId="70497834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415A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CDFF"/>
            <w:noWrap/>
            <w:vAlign w:val="center"/>
            <w:hideMark/>
          </w:tcPr>
          <w:p w14:paraId="72EE30BE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CDFF"/>
            <w:noWrap/>
            <w:vAlign w:val="center"/>
            <w:hideMark/>
          </w:tcPr>
          <w:p w14:paraId="36D0D85E" w14:textId="5121407C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E7A3"/>
            <w:noWrap/>
            <w:vAlign w:val="center"/>
            <w:hideMark/>
          </w:tcPr>
          <w:p w14:paraId="050964FF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415A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CDFF"/>
            <w:vAlign w:val="center"/>
            <w:hideMark/>
          </w:tcPr>
          <w:p w14:paraId="54742BC1" w14:textId="3C101923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CDFF"/>
            <w:vAlign w:val="center"/>
            <w:hideMark/>
          </w:tcPr>
          <w:p w14:paraId="07BF6FE5" w14:textId="50A12550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7E7A3"/>
            <w:vAlign w:val="center"/>
            <w:hideMark/>
          </w:tcPr>
          <w:p w14:paraId="5634636E" w14:textId="5B141B8D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415A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BCDFF"/>
            <w:vAlign w:val="center"/>
          </w:tcPr>
          <w:p w14:paraId="71F7358C" w14:textId="4569192F" w:rsidR="00C24454" w:rsidRPr="000415A5" w:rsidRDefault="00C24454" w:rsidP="00C24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C24454" w:rsidRPr="000415A5" w14:paraId="0AE5D768" w14:textId="33CE40C9" w:rsidTr="00705776">
        <w:trPr>
          <w:trHeight w:val="588"/>
          <w:tblHeader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A91F9" w14:textId="4ECA5E64" w:rsidR="00C24454" w:rsidRPr="000415A5" w:rsidRDefault="00C24454" w:rsidP="00522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Phase 4: Technology Transfer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A3EB"/>
            <w:noWrap/>
            <w:vAlign w:val="center"/>
            <w:hideMark/>
          </w:tcPr>
          <w:p w14:paraId="356EB9C6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8D8D"/>
            <w:noWrap/>
            <w:vAlign w:val="center"/>
            <w:hideMark/>
          </w:tcPr>
          <w:p w14:paraId="73D9C33C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E75"/>
            <w:noWrap/>
            <w:vAlign w:val="center"/>
            <w:hideMark/>
          </w:tcPr>
          <w:p w14:paraId="0423BAA1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E75"/>
            <w:noWrap/>
            <w:vAlign w:val="center"/>
            <w:hideMark/>
          </w:tcPr>
          <w:p w14:paraId="5469103B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7A3"/>
            <w:noWrap/>
            <w:vAlign w:val="center"/>
            <w:hideMark/>
          </w:tcPr>
          <w:p w14:paraId="5DA0871E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7A3"/>
            <w:noWrap/>
            <w:vAlign w:val="center"/>
            <w:hideMark/>
          </w:tcPr>
          <w:p w14:paraId="726C6203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E7A3"/>
            <w:vAlign w:val="center"/>
            <w:hideMark/>
          </w:tcPr>
          <w:p w14:paraId="42F8FE4F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415A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E7A3"/>
            <w:vAlign w:val="center"/>
            <w:hideMark/>
          </w:tcPr>
          <w:p w14:paraId="6540E1DB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415A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BCDFF"/>
            <w:vAlign w:val="center"/>
            <w:hideMark/>
          </w:tcPr>
          <w:p w14:paraId="05258181" w14:textId="01A3B684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7E7A3"/>
            <w:vAlign w:val="center"/>
          </w:tcPr>
          <w:p w14:paraId="0A981B7E" w14:textId="6BF7F198" w:rsidR="00C24454" w:rsidRDefault="00C24454" w:rsidP="00C24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</w:tr>
      <w:tr w:rsidR="00C24454" w:rsidRPr="000415A5" w14:paraId="27B0A85C" w14:textId="0863544B" w:rsidTr="00705776">
        <w:trPr>
          <w:trHeight w:val="588"/>
          <w:tblHeader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56455" w14:textId="4493F400" w:rsidR="00C24454" w:rsidRPr="000415A5" w:rsidRDefault="00C24454" w:rsidP="00522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Phase 5: Project Report and Closeout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A3EB"/>
            <w:noWrap/>
            <w:vAlign w:val="center"/>
            <w:hideMark/>
          </w:tcPr>
          <w:p w14:paraId="4E66E985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415A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E75"/>
            <w:noWrap/>
            <w:vAlign w:val="center"/>
            <w:hideMark/>
          </w:tcPr>
          <w:p w14:paraId="5D196895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8D8D"/>
            <w:noWrap/>
            <w:vAlign w:val="center"/>
            <w:hideMark/>
          </w:tcPr>
          <w:p w14:paraId="32CE1118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E7A3"/>
            <w:noWrap/>
            <w:vAlign w:val="center"/>
            <w:hideMark/>
          </w:tcPr>
          <w:p w14:paraId="13BC8104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415A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E7A3"/>
            <w:noWrap/>
            <w:vAlign w:val="center"/>
            <w:hideMark/>
          </w:tcPr>
          <w:p w14:paraId="41AE32D8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415A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E7A3"/>
            <w:noWrap/>
            <w:vAlign w:val="center"/>
            <w:hideMark/>
          </w:tcPr>
          <w:p w14:paraId="52E171BE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415A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E7A3"/>
            <w:vAlign w:val="center"/>
            <w:hideMark/>
          </w:tcPr>
          <w:p w14:paraId="2DD567BB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415A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E7A3"/>
            <w:vAlign w:val="center"/>
            <w:hideMark/>
          </w:tcPr>
          <w:p w14:paraId="6EF94560" w14:textId="77777777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415A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7E7A3"/>
            <w:vAlign w:val="center"/>
            <w:hideMark/>
          </w:tcPr>
          <w:p w14:paraId="6BE768E9" w14:textId="364DE294" w:rsidR="00C24454" w:rsidRPr="000415A5" w:rsidRDefault="00C24454" w:rsidP="0052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415A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7E7A3"/>
            <w:vAlign w:val="center"/>
          </w:tcPr>
          <w:p w14:paraId="65A57877" w14:textId="21FC4609" w:rsidR="00C24454" w:rsidRPr="000415A5" w:rsidRDefault="00C24454" w:rsidP="00C24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</w:tr>
    </w:tbl>
    <w:p w14:paraId="3F3792AF" w14:textId="77777777" w:rsidR="008B4B27" w:rsidRDefault="008B4B27" w:rsidP="002E4C31">
      <w:pPr>
        <w:tabs>
          <w:tab w:val="left" w:pos="7050"/>
        </w:tabs>
        <w:contextualSpacing/>
      </w:pPr>
    </w:p>
    <w:tbl>
      <w:tblPr>
        <w:tblW w:w="6520" w:type="dxa"/>
        <w:tblLook w:val="04A0" w:firstRow="1" w:lastRow="0" w:firstColumn="1" w:lastColumn="0" w:noHBand="0" w:noVBand="1"/>
        <w:tblCaption w:val="Key"/>
        <w:tblDescription w:val="Key"/>
      </w:tblPr>
      <w:tblGrid>
        <w:gridCol w:w="6520"/>
      </w:tblGrid>
      <w:tr w:rsidR="00451382" w:rsidRPr="000415A5" w14:paraId="5DBFCF57" w14:textId="77777777" w:rsidTr="00705776">
        <w:trPr>
          <w:trHeight w:val="732"/>
          <w:tblHeader/>
        </w:trPr>
        <w:tc>
          <w:tcPr>
            <w:tcW w:w="65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C0A3EB"/>
            <w:vAlign w:val="center"/>
            <w:hideMark/>
          </w:tcPr>
          <w:p w14:paraId="5203256E" w14:textId="77777777" w:rsidR="00451382" w:rsidRPr="000415A5" w:rsidRDefault="00451382" w:rsidP="005228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15A5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 xml:space="preserve">R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–</w:t>
            </w:r>
            <w:r w:rsidRPr="000415A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Responsible</w:t>
            </w:r>
            <w:r>
              <w:rPr>
                <w:rFonts w:ascii="Calibri" w:eastAsia="Times New Roman" w:hAnsi="Calibri" w:cs="Times New Roman"/>
                <w:color w:val="000000"/>
              </w:rPr>
              <w:t>:</w:t>
            </w:r>
            <w:r w:rsidRPr="000415A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t>Who does the work?</w:t>
            </w:r>
          </w:p>
        </w:tc>
      </w:tr>
      <w:tr w:rsidR="00451382" w:rsidRPr="000415A5" w14:paraId="767B245D" w14:textId="77777777" w:rsidTr="00705776">
        <w:trPr>
          <w:trHeight w:val="588"/>
          <w:tblHeader/>
        </w:trPr>
        <w:tc>
          <w:tcPr>
            <w:tcW w:w="65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38D8D"/>
            <w:vAlign w:val="center"/>
            <w:hideMark/>
          </w:tcPr>
          <w:p w14:paraId="22822967" w14:textId="77777777" w:rsidR="00451382" w:rsidRPr="000415A5" w:rsidRDefault="00451382" w:rsidP="005228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15A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–</w:t>
            </w:r>
            <w:r w:rsidRPr="000415A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Accountable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>
              <w:t>Who approves the work?</w:t>
            </w:r>
          </w:p>
        </w:tc>
      </w:tr>
      <w:tr w:rsidR="00451382" w:rsidRPr="000415A5" w14:paraId="3EA1FF47" w14:textId="77777777" w:rsidTr="00705776">
        <w:trPr>
          <w:trHeight w:val="588"/>
          <w:tblHeader/>
        </w:trPr>
        <w:tc>
          <w:tcPr>
            <w:tcW w:w="65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DE75"/>
            <w:vAlign w:val="center"/>
            <w:hideMark/>
          </w:tcPr>
          <w:p w14:paraId="6D2EFCB8" w14:textId="77777777" w:rsidR="00451382" w:rsidRPr="000415A5" w:rsidRDefault="00451382" w:rsidP="005228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15A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–</w:t>
            </w:r>
            <w:r w:rsidRPr="000415A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Support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284C2C">
              <w:rPr>
                <w:rFonts w:ascii="Calibri" w:eastAsia="Times New Roman" w:hAnsi="Calibri" w:cs="Times New Roman"/>
                <w:color w:val="000000"/>
              </w:rPr>
              <w:t>Who supports the person doing the work?</w:t>
            </w:r>
          </w:p>
        </w:tc>
      </w:tr>
      <w:tr w:rsidR="00451382" w:rsidRPr="000415A5" w14:paraId="75624786" w14:textId="77777777" w:rsidTr="00705776">
        <w:trPr>
          <w:trHeight w:val="588"/>
          <w:tblHeader/>
        </w:trPr>
        <w:tc>
          <w:tcPr>
            <w:tcW w:w="65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8BCDFF"/>
            <w:vAlign w:val="center"/>
            <w:hideMark/>
          </w:tcPr>
          <w:p w14:paraId="67CB17F0" w14:textId="77777777" w:rsidR="00451382" w:rsidRPr="000415A5" w:rsidRDefault="00451382" w:rsidP="005228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15A5">
              <w:rPr>
                <w:rFonts w:ascii="Calibri" w:eastAsia="Times New Roman" w:hAnsi="Calibri" w:cs="Times New Roman"/>
                <w:b/>
                <w:bCs/>
                <w:color w:val="000000"/>
              </w:rPr>
              <w:t>C - Consult</w:t>
            </w:r>
            <w:r>
              <w:rPr>
                <w:rFonts w:ascii="Calibri" w:eastAsia="Times New Roman" w:hAnsi="Calibri" w:cs="Times New Roman"/>
                <w:color w:val="000000"/>
              </w:rPr>
              <w:t>:</w:t>
            </w:r>
            <w:r w:rsidRPr="000415A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284C2C">
              <w:rPr>
                <w:rFonts w:ascii="Calibri" w:eastAsia="Times New Roman" w:hAnsi="Calibri" w:cs="Times New Roman"/>
                <w:color w:val="000000"/>
              </w:rPr>
              <w:t>Who provides opinions/input about the work?</w:t>
            </w:r>
          </w:p>
        </w:tc>
      </w:tr>
      <w:tr w:rsidR="00451382" w:rsidRPr="000415A5" w14:paraId="0D951752" w14:textId="77777777" w:rsidTr="00705776">
        <w:trPr>
          <w:trHeight w:val="588"/>
          <w:tblHeader/>
        </w:trPr>
        <w:tc>
          <w:tcPr>
            <w:tcW w:w="65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C7E7A3"/>
            <w:vAlign w:val="center"/>
            <w:hideMark/>
          </w:tcPr>
          <w:p w14:paraId="565ECAC0" w14:textId="77777777" w:rsidR="00451382" w:rsidRPr="000415A5" w:rsidRDefault="00451382" w:rsidP="005228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15A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–</w:t>
            </w:r>
            <w:r w:rsidRPr="000415A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Informed</w:t>
            </w:r>
            <w:r>
              <w:rPr>
                <w:rFonts w:ascii="Calibri" w:eastAsia="Times New Roman" w:hAnsi="Calibri" w:cs="Times New Roman"/>
                <w:color w:val="000000"/>
              </w:rPr>
              <w:t>: Who needs to be informed about the outcomes from the work?</w:t>
            </w:r>
          </w:p>
        </w:tc>
      </w:tr>
    </w:tbl>
    <w:p w14:paraId="2BAC6A06" w14:textId="77777777" w:rsidR="006F4366" w:rsidRPr="00D52489" w:rsidRDefault="006F4366" w:rsidP="002E4C31"/>
    <w:sectPr w:rsidR="006F4366" w:rsidRPr="00D52489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68A90" w14:textId="77777777" w:rsidR="003B0F37" w:rsidRDefault="003B0F37" w:rsidP="00022E76">
      <w:pPr>
        <w:spacing w:after="0" w:line="240" w:lineRule="auto"/>
      </w:pPr>
      <w:r>
        <w:separator/>
      </w:r>
    </w:p>
  </w:endnote>
  <w:endnote w:type="continuationSeparator" w:id="0">
    <w:p w14:paraId="0ADD5B44" w14:textId="77777777" w:rsidR="003B0F37" w:rsidRDefault="003B0F37" w:rsidP="0002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6F8C4" w14:textId="77777777" w:rsidR="005228AC" w:rsidRDefault="005228AC">
    <w:r>
      <w:rPr>
        <w:noProof/>
      </w:rPr>
      <w:drawing>
        <wp:anchor distT="0" distB="0" distL="114300" distR="114300" simplePos="0" relativeHeight="251662336" behindDoc="0" locked="0" layoutInCell="1" allowOverlap="1" wp14:anchorId="1D527A8F" wp14:editId="0034766D">
          <wp:simplePos x="0" y="0"/>
          <wp:positionH relativeFrom="column">
            <wp:posOffset>-494984</wp:posOffset>
          </wp:positionH>
          <wp:positionV relativeFrom="paragraph">
            <wp:posOffset>86360</wp:posOffset>
          </wp:positionV>
          <wp:extent cx="1118681" cy="619547"/>
          <wp:effectExtent l="0" t="0" r="5715" b="9525"/>
          <wp:wrapNone/>
          <wp:docPr id="7" name="Picture 7" descr="Graphic of Forest Serv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681" cy="619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80" w:rightFromText="180" w:vertAnchor="text" w:tblpX="1272" w:tblpY="1"/>
      <w:tblOverlap w:val="never"/>
      <w:tblW w:w="4693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  <w:tblDescription w:val="Footer description of document"/>
    </w:tblPr>
    <w:tblGrid>
      <w:gridCol w:w="8785"/>
    </w:tblGrid>
    <w:tr w:rsidR="005228AC" w:rsidRPr="003034EE" w14:paraId="21AB5DE3" w14:textId="77777777" w:rsidTr="00941170">
      <w:trPr>
        <w:trHeight w:val="144"/>
        <w:tblHeader/>
      </w:trPr>
      <w:tc>
        <w:tcPr>
          <w:tcW w:w="5000" w:type="pct"/>
          <w:tcBorders>
            <w:top w:val="single" w:sz="4" w:space="0" w:color="000000" w:themeColor="text1"/>
          </w:tcBorders>
        </w:tcPr>
        <w:p w14:paraId="10B2426F" w14:textId="77777777" w:rsidR="005228AC" w:rsidRPr="003034EE" w:rsidRDefault="005228AC" w:rsidP="00823D8C">
          <w:pPr>
            <w:pStyle w:val="Footer"/>
            <w:jc w:val="right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 xml:space="preserve">Geospatial Technology and Applications Center    </w:t>
          </w:r>
          <w:r w:rsidRPr="003034EE">
            <w:rPr>
              <w:color w:val="595959" w:themeColor="text1" w:themeTint="A6"/>
            </w:rPr>
            <w:t xml:space="preserve"> |  </w:t>
          </w:r>
          <w:r>
            <w:rPr>
              <w:color w:val="595959" w:themeColor="text1" w:themeTint="A6"/>
            </w:rPr>
            <w:t xml:space="preserve">  </w:t>
          </w:r>
          <w:r w:rsidRPr="003034EE">
            <w:rPr>
              <w:color w:val="595959" w:themeColor="text1" w:themeTint="A6"/>
            </w:rPr>
            <w:t xml:space="preserve"> </w:t>
          </w:r>
          <w:r>
            <w:rPr>
              <w:color w:val="595959" w:themeColor="text1" w:themeTint="A6"/>
            </w:rPr>
            <w:t xml:space="preserve">GeoTASC Project Plan     |     </w:t>
          </w:r>
          <w:r>
            <w:rPr>
              <w:color w:val="595959" w:themeColor="text1" w:themeTint="A6"/>
            </w:rPr>
            <w:fldChar w:fldCharType="begin"/>
          </w:r>
          <w:r>
            <w:rPr>
              <w:color w:val="595959" w:themeColor="text1" w:themeTint="A6"/>
            </w:rPr>
            <w:instrText xml:space="preserve"> PAGE  \* Arabic  \* MERGEFORMAT </w:instrText>
          </w:r>
          <w:r>
            <w:rPr>
              <w:color w:val="595959" w:themeColor="text1" w:themeTint="A6"/>
            </w:rPr>
            <w:fldChar w:fldCharType="separate"/>
          </w:r>
          <w:r w:rsidR="00627497">
            <w:rPr>
              <w:noProof/>
              <w:color w:val="595959" w:themeColor="text1" w:themeTint="A6"/>
            </w:rPr>
            <w:t>2</w:t>
          </w:r>
          <w:r>
            <w:rPr>
              <w:color w:val="595959" w:themeColor="text1" w:themeTint="A6"/>
            </w:rPr>
            <w:fldChar w:fldCharType="end"/>
          </w:r>
        </w:p>
      </w:tc>
    </w:tr>
  </w:tbl>
  <w:p w14:paraId="463DA4D5" w14:textId="77777777" w:rsidR="005228AC" w:rsidRDefault="005228AC" w:rsidP="00E605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D82E4" w14:textId="77777777" w:rsidR="003B0F37" w:rsidRDefault="003B0F37" w:rsidP="00022E76">
      <w:pPr>
        <w:spacing w:after="0" w:line="240" w:lineRule="auto"/>
      </w:pPr>
      <w:r>
        <w:separator/>
      </w:r>
    </w:p>
  </w:footnote>
  <w:footnote w:type="continuationSeparator" w:id="0">
    <w:p w14:paraId="3F6EBAB2" w14:textId="77777777" w:rsidR="003B0F37" w:rsidRDefault="003B0F37" w:rsidP="00022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5144B" w14:textId="77777777" w:rsidR="005228AC" w:rsidRDefault="005228AC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08A1970" wp14:editId="4CFE8433">
          <wp:simplePos x="0" y="0"/>
          <wp:positionH relativeFrom="column">
            <wp:posOffset>-529590</wp:posOffset>
          </wp:positionH>
          <wp:positionV relativeFrom="paragraph">
            <wp:posOffset>109855</wp:posOffset>
          </wp:positionV>
          <wp:extent cx="2408555" cy="347980"/>
          <wp:effectExtent l="0" t="0" r="0" b="0"/>
          <wp:wrapNone/>
          <wp:docPr id="4" name="Picture 4" descr="US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DA_Signtr_wh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555" cy="347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22804E" wp14:editId="55A1053B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762875" cy="1028700"/>
              <wp:effectExtent l="0" t="0" r="28575" b="19050"/>
              <wp:wrapTopAndBottom/>
              <wp:docPr id="1" name="Rectangle 1" descr="Header iso ba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1028700"/>
                      </a:xfrm>
                      <a:prstGeom prst="rect">
                        <a:avLst/>
                      </a:prstGeom>
                      <a:solidFill>
                        <a:srgbClr val="01672D"/>
                      </a:solidFill>
                      <a:ln>
                        <a:solidFill>
                          <a:srgbClr val="01672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A58B22" id="Rectangle 1" o:spid="_x0000_s1026" alt="Header iso bar" style="position:absolute;margin-left:-1in;margin-top:-36pt;width:611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" fillcolor="#01672d" strokecolor="#01672d" strokeweight="1pt"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50C"/>
    <w:multiLevelType w:val="hybridMultilevel"/>
    <w:tmpl w:val="3190E7A6"/>
    <w:lvl w:ilvl="0" w:tplc="C72684EE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C4EB8"/>
    <w:multiLevelType w:val="hybridMultilevel"/>
    <w:tmpl w:val="B47453FE"/>
    <w:lvl w:ilvl="0" w:tplc="E52ED4D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2F39"/>
    <w:multiLevelType w:val="hybridMultilevel"/>
    <w:tmpl w:val="CAFA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36DE9"/>
    <w:multiLevelType w:val="hybridMultilevel"/>
    <w:tmpl w:val="86E48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1580"/>
    <w:multiLevelType w:val="hybridMultilevel"/>
    <w:tmpl w:val="1A5C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34066"/>
    <w:multiLevelType w:val="hybridMultilevel"/>
    <w:tmpl w:val="A6AEF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949DC"/>
    <w:multiLevelType w:val="hybridMultilevel"/>
    <w:tmpl w:val="47CCA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C1E97"/>
    <w:multiLevelType w:val="hybridMultilevel"/>
    <w:tmpl w:val="D3C4A322"/>
    <w:lvl w:ilvl="0" w:tplc="FC366AC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E3C8E"/>
    <w:multiLevelType w:val="hybridMultilevel"/>
    <w:tmpl w:val="B4EC5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939FD"/>
    <w:multiLevelType w:val="hybridMultilevel"/>
    <w:tmpl w:val="BF2C7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76"/>
    <w:rsid w:val="0002030B"/>
    <w:rsid w:val="00022E76"/>
    <w:rsid w:val="0009249E"/>
    <w:rsid w:val="000A4F72"/>
    <w:rsid w:val="000D2A0D"/>
    <w:rsid w:val="000D653A"/>
    <w:rsid w:val="000E146B"/>
    <w:rsid w:val="00105D22"/>
    <w:rsid w:val="00111AC3"/>
    <w:rsid w:val="001719CB"/>
    <w:rsid w:val="00176495"/>
    <w:rsid w:val="001B04F7"/>
    <w:rsid w:val="001D22D8"/>
    <w:rsid w:val="001D4DC8"/>
    <w:rsid w:val="001E7E7B"/>
    <w:rsid w:val="00215E8A"/>
    <w:rsid w:val="002317BF"/>
    <w:rsid w:val="00234C7F"/>
    <w:rsid w:val="00236E34"/>
    <w:rsid w:val="002456A8"/>
    <w:rsid w:val="00272CA9"/>
    <w:rsid w:val="00296B91"/>
    <w:rsid w:val="002B170D"/>
    <w:rsid w:val="002B2AAE"/>
    <w:rsid w:val="002C43C6"/>
    <w:rsid w:val="002D72A1"/>
    <w:rsid w:val="002E4C31"/>
    <w:rsid w:val="00302643"/>
    <w:rsid w:val="003127C8"/>
    <w:rsid w:val="0031454D"/>
    <w:rsid w:val="00320ED2"/>
    <w:rsid w:val="003435B0"/>
    <w:rsid w:val="003510D4"/>
    <w:rsid w:val="003633DC"/>
    <w:rsid w:val="00380395"/>
    <w:rsid w:val="003B0F37"/>
    <w:rsid w:val="003C7F74"/>
    <w:rsid w:val="003F068A"/>
    <w:rsid w:val="003F0BFD"/>
    <w:rsid w:val="00403123"/>
    <w:rsid w:val="00423E48"/>
    <w:rsid w:val="0042550D"/>
    <w:rsid w:val="00431426"/>
    <w:rsid w:val="0043628E"/>
    <w:rsid w:val="00451382"/>
    <w:rsid w:val="004C4D51"/>
    <w:rsid w:val="004D0802"/>
    <w:rsid w:val="00510D80"/>
    <w:rsid w:val="00510DC7"/>
    <w:rsid w:val="00513449"/>
    <w:rsid w:val="005228AC"/>
    <w:rsid w:val="00571AC2"/>
    <w:rsid w:val="005A72A1"/>
    <w:rsid w:val="005B3775"/>
    <w:rsid w:val="005B64F9"/>
    <w:rsid w:val="005C5F11"/>
    <w:rsid w:val="005E63AB"/>
    <w:rsid w:val="0061148D"/>
    <w:rsid w:val="00612ADC"/>
    <w:rsid w:val="0062069B"/>
    <w:rsid w:val="00622ACB"/>
    <w:rsid w:val="00627497"/>
    <w:rsid w:val="006309A5"/>
    <w:rsid w:val="00654CE1"/>
    <w:rsid w:val="00661913"/>
    <w:rsid w:val="00672529"/>
    <w:rsid w:val="006B69BC"/>
    <w:rsid w:val="006D6B05"/>
    <w:rsid w:val="006E0E75"/>
    <w:rsid w:val="006F4366"/>
    <w:rsid w:val="00705776"/>
    <w:rsid w:val="00725228"/>
    <w:rsid w:val="00733E25"/>
    <w:rsid w:val="00735C67"/>
    <w:rsid w:val="00741372"/>
    <w:rsid w:val="0079346B"/>
    <w:rsid w:val="007A1D24"/>
    <w:rsid w:val="007A221D"/>
    <w:rsid w:val="00823D8C"/>
    <w:rsid w:val="00857D43"/>
    <w:rsid w:val="00861763"/>
    <w:rsid w:val="00880989"/>
    <w:rsid w:val="008900B3"/>
    <w:rsid w:val="00890F4C"/>
    <w:rsid w:val="008B4B04"/>
    <w:rsid w:val="008B4B27"/>
    <w:rsid w:val="008B516A"/>
    <w:rsid w:val="008D2FE4"/>
    <w:rsid w:val="008E0A72"/>
    <w:rsid w:val="009231BB"/>
    <w:rsid w:val="00941170"/>
    <w:rsid w:val="00944A17"/>
    <w:rsid w:val="00975D28"/>
    <w:rsid w:val="009835D7"/>
    <w:rsid w:val="009B1372"/>
    <w:rsid w:val="009D6B83"/>
    <w:rsid w:val="009F721E"/>
    <w:rsid w:val="00A07C5A"/>
    <w:rsid w:val="00A248B0"/>
    <w:rsid w:val="00A352B3"/>
    <w:rsid w:val="00A46E50"/>
    <w:rsid w:val="00A71055"/>
    <w:rsid w:val="00A81F27"/>
    <w:rsid w:val="00A95788"/>
    <w:rsid w:val="00B03679"/>
    <w:rsid w:val="00B2673B"/>
    <w:rsid w:val="00B52F12"/>
    <w:rsid w:val="00BA2E8A"/>
    <w:rsid w:val="00BD5768"/>
    <w:rsid w:val="00C0760F"/>
    <w:rsid w:val="00C12BE2"/>
    <w:rsid w:val="00C24454"/>
    <w:rsid w:val="00C3160A"/>
    <w:rsid w:val="00C324AC"/>
    <w:rsid w:val="00C34F90"/>
    <w:rsid w:val="00C355EA"/>
    <w:rsid w:val="00C84960"/>
    <w:rsid w:val="00CC6072"/>
    <w:rsid w:val="00D14F54"/>
    <w:rsid w:val="00D16A88"/>
    <w:rsid w:val="00D45A21"/>
    <w:rsid w:val="00D52489"/>
    <w:rsid w:val="00D546CE"/>
    <w:rsid w:val="00D91F87"/>
    <w:rsid w:val="00DB6C48"/>
    <w:rsid w:val="00DF4CFA"/>
    <w:rsid w:val="00DF5346"/>
    <w:rsid w:val="00E605CD"/>
    <w:rsid w:val="00E85BEE"/>
    <w:rsid w:val="00E9380B"/>
    <w:rsid w:val="00EA4891"/>
    <w:rsid w:val="00EB2AD7"/>
    <w:rsid w:val="00EB3E54"/>
    <w:rsid w:val="00EC40DE"/>
    <w:rsid w:val="00EC4704"/>
    <w:rsid w:val="00EE6B8D"/>
    <w:rsid w:val="00F14068"/>
    <w:rsid w:val="00F44FCC"/>
    <w:rsid w:val="00F56C0A"/>
    <w:rsid w:val="00F71CAD"/>
    <w:rsid w:val="00F86486"/>
    <w:rsid w:val="00FB3EE1"/>
    <w:rsid w:val="00FD4761"/>
    <w:rsid w:val="00FE5DAC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28E3216"/>
  <w15:chartTrackingRefBased/>
  <w15:docId w15:val="{2F0E5BC9-F20C-41E4-963A-4D0B5429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autoRedefine/>
    <w:uiPriority w:val="9"/>
    <w:qFormat/>
    <w:rsid w:val="005A72A1"/>
    <w:pPr>
      <w:spacing w:before="120"/>
      <w:outlineLvl w:val="0"/>
    </w:pPr>
    <w:rPr>
      <w:rFonts w:ascii="Cambria" w:hAnsi="Cambria"/>
      <w:sz w:val="72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0D2A0D"/>
    <w:pPr>
      <w:spacing w:before="240"/>
      <w:contextualSpacing w:val="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C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E76"/>
  </w:style>
  <w:style w:type="paragraph" w:styleId="Footer">
    <w:name w:val="footer"/>
    <w:basedOn w:val="Normal"/>
    <w:link w:val="FooterChar"/>
    <w:uiPriority w:val="99"/>
    <w:unhideWhenUsed/>
    <w:rsid w:val="00022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E76"/>
  </w:style>
  <w:style w:type="paragraph" w:styleId="Title">
    <w:name w:val="Title"/>
    <w:basedOn w:val="Normal"/>
    <w:next w:val="Normal"/>
    <w:link w:val="TitleChar"/>
    <w:uiPriority w:val="10"/>
    <w:qFormat/>
    <w:rsid w:val="006F43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366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A72A1"/>
    <w:rPr>
      <w:rFonts w:ascii="Cambria" w:eastAsiaTheme="majorEastAsia" w:hAnsi="Cambria" w:cstheme="majorBidi"/>
      <w:spacing w:val="-10"/>
      <w:kern w:val="28"/>
      <w:sz w:val="72"/>
      <w:szCs w:val="56"/>
    </w:rPr>
  </w:style>
  <w:style w:type="paragraph" w:customStyle="1" w:styleId="CoverHeading">
    <w:name w:val="Cover_Heading"/>
    <w:basedOn w:val="Normal"/>
    <w:link w:val="CoverHeadingChar"/>
    <w:qFormat/>
    <w:rsid w:val="00272CA9"/>
    <w:rPr>
      <w:b/>
      <w:sz w:val="28"/>
    </w:rPr>
  </w:style>
  <w:style w:type="table" w:styleId="TableGrid">
    <w:name w:val="Table Grid"/>
    <w:basedOn w:val="TableNormal"/>
    <w:uiPriority w:val="59"/>
    <w:rsid w:val="00236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verHeadingChar">
    <w:name w:val="Cover_Heading Char"/>
    <w:basedOn w:val="DefaultParagraphFont"/>
    <w:link w:val="CoverHeading"/>
    <w:rsid w:val="00272CA9"/>
    <w:rPr>
      <w:b/>
      <w:sz w:val="28"/>
    </w:rPr>
  </w:style>
  <w:style w:type="character" w:styleId="Strong">
    <w:name w:val="Strong"/>
    <w:uiPriority w:val="22"/>
    <w:qFormat/>
    <w:rsid w:val="00236E34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6F4366"/>
    <w:pPr>
      <w:spacing w:after="0" w:line="240" w:lineRule="auto"/>
    </w:pPr>
    <w:rPr>
      <w:rFonts w:eastAsiaTheme="minorEastAsia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6F4366"/>
    <w:rPr>
      <w:rFonts w:eastAsiaTheme="minorEastAsia"/>
      <w:szCs w:val="20"/>
    </w:rPr>
  </w:style>
  <w:style w:type="character" w:styleId="Hyperlink">
    <w:name w:val="Hyperlink"/>
    <w:basedOn w:val="DefaultParagraphFont"/>
    <w:uiPriority w:val="99"/>
    <w:unhideWhenUsed/>
    <w:rsid w:val="00236E34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653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D2A0D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table" w:styleId="GridTable5Dark">
    <w:name w:val="Grid Table 5 Dark"/>
    <w:basedOn w:val="TableNormal"/>
    <w:uiPriority w:val="50"/>
    <w:rsid w:val="00234C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34C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B7DFA8" w:themeFill="accent1" w:themeFillTint="66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DF4CFA"/>
    <w:rPr>
      <w:rFonts w:asciiTheme="majorHAnsi" w:eastAsiaTheme="majorEastAsia" w:hAnsiTheme="majorHAnsi" w:cstheme="majorBidi"/>
      <w:b/>
      <w:sz w:val="28"/>
      <w:szCs w:val="24"/>
    </w:rPr>
  </w:style>
  <w:style w:type="table" w:styleId="GridTable5Dark-Accent3">
    <w:name w:val="Grid Table 5 Dark Accent 3"/>
    <w:basedOn w:val="TableNormal"/>
    <w:uiPriority w:val="50"/>
    <w:rsid w:val="00C324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CF3A" w:themeFill="accent3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E5EBB0" w:themeFill="accent3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F4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CFA"/>
    <w:rPr>
      <w:rFonts w:ascii="Segoe UI" w:hAnsi="Segoe UI" w:cs="Segoe UI"/>
      <w:sz w:val="18"/>
      <w:szCs w:val="18"/>
    </w:rPr>
  </w:style>
  <w:style w:type="table" w:styleId="GridTable2">
    <w:name w:val="Grid Table 2"/>
    <w:basedOn w:val="TableNormal"/>
    <w:uiPriority w:val="47"/>
    <w:rsid w:val="003127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3127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34F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F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F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F90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15E8A"/>
    <w:pPr>
      <w:spacing w:after="200" w:line="240" w:lineRule="auto"/>
    </w:pPr>
    <w:rPr>
      <w:i/>
      <w:iCs/>
      <w:color w:val="455F5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7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web.rsac.fs.fed.us/" TargetMode="External"/><Relationship Id="rId13" Type="http://schemas.openxmlformats.org/officeDocument/2006/relationships/hyperlink" Target="mailto:costergren@usgs.gov" TargetMode="External"/><Relationship Id="rId18" Type="http://schemas.openxmlformats.org/officeDocument/2006/relationships/hyperlink" Target="mailto:aschaaf@fs.fed.us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gdmatthews@usgs.gov" TargetMode="External"/><Relationship Id="rId17" Type="http://schemas.openxmlformats.org/officeDocument/2006/relationships/hyperlink" Target="mailto:jesstclark@fs.fed.u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fisk@fs.fed.us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eberle@fs.fed.u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ricrounds@fs.fed.us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imlindemann@fs.fed.us" TargetMode="External"/><Relationship Id="rId19" Type="http://schemas.openxmlformats.org/officeDocument/2006/relationships/hyperlink" Target="mailto:plivelic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lphmartinez@fs.fed.us" TargetMode="External"/><Relationship Id="rId14" Type="http://schemas.openxmlformats.org/officeDocument/2006/relationships/hyperlink" Target="mailto:rpostolovski@usgs.gov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2C32E-2C57-439C-B2D5-8495B7D4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GeoTASC Project Plan NHD</vt:lpstr>
    </vt:vector>
  </TitlesOfParts>
  <Company>USDA</Company>
  <LinksUpToDate>false</LinksUpToDate>
  <CharactersWithSpaces>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GeoTASC Project Plan NHD</dc:title>
  <dc:subject/>
  <dc:creator>Schaaf, Abigail N -FS</dc:creator>
  <cp:keywords/>
  <dc:description/>
  <cp:lastModifiedBy>Rounds, Eric - FS, Salt Lake City, UT</cp:lastModifiedBy>
  <cp:revision>7</cp:revision>
  <cp:lastPrinted>2018-03-12T17:31:00Z</cp:lastPrinted>
  <dcterms:created xsi:type="dcterms:W3CDTF">2018-03-12T17:10:00Z</dcterms:created>
  <dcterms:modified xsi:type="dcterms:W3CDTF">2018-03-12T17:31:00Z</dcterms:modified>
</cp:coreProperties>
</file>