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59D7DA" w14:textId="7998EC0E" w:rsidR="00DA33D0" w:rsidRDefault="00910792" w:rsidP="007B4F0F">
      <w:pPr>
        <w:pStyle w:val="CoverTitle"/>
      </w:pPr>
      <w:r>
        <w:t>Hardware Requirements</w:t>
      </w:r>
      <w:r w:rsidR="005B3C3E">
        <w:t xml:space="preserve"> for Stereo Viewing</w:t>
      </w:r>
    </w:p>
    <w:p w14:paraId="0BDB5273" w14:textId="77777777" w:rsidR="00260F1E" w:rsidRPr="00745BBE" w:rsidRDefault="004B1BC2" w:rsidP="00731473">
      <w:pPr>
        <w:pStyle w:val="CoverHeader"/>
        <w:rPr>
          <w:sz w:val="36"/>
        </w:rPr>
      </w:pPr>
      <w:r w:rsidRPr="00745BBE">
        <w:rPr>
          <w:sz w:val="36"/>
        </w:rPr>
        <w:t>Introduction</w:t>
      </w:r>
    </w:p>
    <w:p w14:paraId="77F6B3B5" w14:textId="3C65AF5D" w:rsidR="004138B2" w:rsidRDefault="004138B2" w:rsidP="00E2353A">
      <w:pPr>
        <w:pStyle w:val="Covertext"/>
      </w:pPr>
      <w:r>
        <w:t xml:space="preserve">NOTE: The </w:t>
      </w:r>
      <w:r w:rsidRPr="004138B2">
        <w:t>Forest Service</w:t>
      </w:r>
      <w:r>
        <w:t xml:space="preserve"> conducted a RFP for stereo viewing software. Several vendors submitted proposals, and their software was tested on FS hardware. As a result of this testing, </w:t>
      </w:r>
      <w:proofErr w:type="spellStart"/>
      <w:r>
        <w:t>Datem</w:t>
      </w:r>
      <w:proofErr w:type="spellEnd"/>
      <w:r>
        <w:t xml:space="preserve"> </w:t>
      </w:r>
      <w:r w:rsidR="00AB3224">
        <w:t>Summit Evolution</w:t>
      </w:r>
      <w:r>
        <w:t xml:space="preserve"> was selected as the new Enterprise Stereo Viewing solution. This document has </w:t>
      </w:r>
      <w:r w:rsidR="00910792">
        <w:t xml:space="preserve">been updated to reflect the requirements of </w:t>
      </w:r>
      <w:r w:rsidR="00910792" w:rsidRPr="00DA33D0">
        <w:rPr>
          <w:b/>
        </w:rPr>
        <w:t>Summit Evolution version 7.1 or later</w:t>
      </w:r>
      <w:r>
        <w:t>.</w:t>
      </w:r>
    </w:p>
    <w:p w14:paraId="4842B144" w14:textId="2E0500B6" w:rsidR="005B3C3E" w:rsidRDefault="005B3C3E" w:rsidP="00131209">
      <w:pPr>
        <w:pStyle w:val="Covertext"/>
        <w:rPr>
          <w:i/>
        </w:rPr>
      </w:pPr>
      <w:r w:rsidRPr="005B3C3E">
        <w:rPr>
          <w:i/>
        </w:rPr>
        <w:t xml:space="preserve">Note: As with any technology, the availability, specifications, and costs of equipment changes rapidly.  </w:t>
      </w:r>
      <w:r w:rsidR="00D30F4F">
        <w:rPr>
          <w:i/>
        </w:rPr>
        <w:t>The details listed below</w:t>
      </w:r>
      <w:r w:rsidRPr="005B3C3E">
        <w:rPr>
          <w:i/>
        </w:rPr>
        <w:t xml:space="preserve"> are current as</w:t>
      </w:r>
      <w:r w:rsidR="007B4F0F">
        <w:rPr>
          <w:i/>
        </w:rPr>
        <w:t xml:space="preserve"> of the date shown in the footer</w:t>
      </w:r>
      <w:r w:rsidRPr="005B3C3E">
        <w:rPr>
          <w:i/>
        </w:rPr>
        <w:t xml:space="preserve"> of this document.  Prices listed are typically “Manufacturer Retail Suggested Price”, and some items may be found for less at retailers.  Some locations also offer GSA pricing.</w:t>
      </w:r>
    </w:p>
    <w:p w14:paraId="7C7FCC31" w14:textId="354068E9" w:rsidR="007B4F0F" w:rsidRDefault="00D30F4F" w:rsidP="00131209">
      <w:pPr>
        <w:pStyle w:val="Covertext"/>
      </w:pPr>
      <w:r>
        <w:t>There are three main</w:t>
      </w:r>
      <w:r w:rsidR="007B4F0F">
        <w:t xml:space="preserve"> </w:t>
      </w:r>
      <w:r>
        <w:t xml:space="preserve">display </w:t>
      </w:r>
      <w:r w:rsidR="007B4F0F">
        <w:t>systems</w:t>
      </w:r>
      <w:r>
        <w:t xml:space="preserve"> for</w:t>
      </w:r>
      <w:r w:rsidR="007B4F0F">
        <w:t xml:space="preserve"> </w:t>
      </w:r>
      <w:r>
        <w:t>stereo imagery; anaglyph, active, and passive. I</w:t>
      </w:r>
      <w:r w:rsidR="007B4F0F">
        <w:t>t is critical to understand which one is most practical for your needs before investing i</w:t>
      </w:r>
      <w:r>
        <w:t>n hardware.  Table 1</w:t>
      </w:r>
      <w:r w:rsidR="007B4F0F">
        <w:t xml:space="preserve"> outlines important attributes of each system.  </w:t>
      </w:r>
    </w:p>
    <w:tbl>
      <w:tblPr>
        <w:tblStyle w:val="TableGrid"/>
        <w:tblW w:w="9466" w:type="dxa"/>
        <w:tblLook w:val="04A0" w:firstRow="1" w:lastRow="0" w:firstColumn="1" w:lastColumn="0" w:noHBand="0" w:noVBand="1"/>
        <w:tblDescription w:val="comparison of stereo viewing systems"/>
      </w:tblPr>
      <w:tblGrid>
        <w:gridCol w:w="2366"/>
        <w:gridCol w:w="2366"/>
        <w:gridCol w:w="2366"/>
        <w:gridCol w:w="2368"/>
      </w:tblGrid>
      <w:tr w:rsidR="003578B7" w14:paraId="16750437" w14:textId="77777777" w:rsidTr="003578B7">
        <w:trPr>
          <w:trHeight w:val="407"/>
        </w:trPr>
        <w:tc>
          <w:tcPr>
            <w:tcW w:w="2366" w:type="dxa"/>
          </w:tcPr>
          <w:p w14:paraId="5F3D5EA5" w14:textId="77777777" w:rsidR="007B4F0F" w:rsidRDefault="007B4F0F" w:rsidP="00D30F4F">
            <w:pPr>
              <w:pStyle w:val="Covertext"/>
              <w:shd w:val="clear" w:color="auto" w:fill="auto"/>
              <w:jc w:val="center"/>
            </w:pPr>
          </w:p>
        </w:tc>
        <w:tc>
          <w:tcPr>
            <w:tcW w:w="2366" w:type="dxa"/>
          </w:tcPr>
          <w:p w14:paraId="5064BCA1" w14:textId="5055429C" w:rsidR="007B4F0F" w:rsidRPr="00D30F4F" w:rsidRDefault="00D30F4F" w:rsidP="00D30F4F">
            <w:pPr>
              <w:pStyle w:val="Covertext"/>
              <w:shd w:val="clear" w:color="auto" w:fill="auto"/>
              <w:jc w:val="center"/>
              <w:rPr>
                <w:b/>
              </w:rPr>
            </w:pPr>
            <w:r w:rsidRPr="00D30F4F">
              <w:rPr>
                <w:b/>
                <w:sz w:val="24"/>
              </w:rPr>
              <w:t>Anaglyph</w:t>
            </w:r>
          </w:p>
        </w:tc>
        <w:tc>
          <w:tcPr>
            <w:tcW w:w="2366" w:type="dxa"/>
          </w:tcPr>
          <w:p w14:paraId="43A53A6A" w14:textId="71E92AC4" w:rsidR="007B4F0F" w:rsidRPr="00D30F4F" w:rsidRDefault="00D30F4F" w:rsidP="00D30F4F">
            <w:pPr>
              <w:pStyle w:val="Covertext"/>
              <w:shd w:val="clear" w:color="auto" w:fill="auto"/>
              <w:jc w:val="center"/>
              <w:rPr>
                <w:b/>
              </w:rPr>
            </w:pPr>
            <w:r w:rsidRPr="00D30F4F">
              <w:rPr>
                <w:b/>
                <w:sz w:val="24"/>
              </w:rPr>
              <w:t>Active</w:t>
            </w:r>
          </w:p>
        </w:tc>
        <w:tc>
          <w:tcPr>
            <w:tcW w:w="2368" w:type="dxa"/>
          </w:tcPr>
          <w:p w14:paraId="34BECAC0" w14:textId="191AA814" w:rsidR="007B4F0F" w:rsidRPr="00D30F4F" w:rsidRDefault="00D30F4F" w:rsidP="00D30F4F">
            <w:pPr>
              <w:pStyle w:val="Covertext"/>
              <w:shd w:val="clear" w:color="auto" w:fill="auto"/>
              <w:jc w:val="center"/>
              <w:rPr>
                <w:b/>
              </w:rPr>
            </w:pPr>
            <w:r w:rsidRPr="00D30F4F">
              <w:rPr>
                <w:b/>
                <w:sz w:val="24"/>
              </w:rPr>
              <w:t>Passive</w:t>
            </w:r>
          </w:p>
        </w:tc>
      </w:tr>
      <w:tr w:rsidR="003578B7" w14:paraId="66767785" w14:textId="77777777" w:rsidTr="003578B7">
        <w:trPr>
          <w:trHeight w:val="392"/>
        </w:trPr>
        <w:tc>
          <w:tcPr>
            <w:tcW w:w="2366" w:type="dxa"/>
          </w:tcPr>
          <w:p w14:paraId="222F6B01" w14:textId="704B4BC1" w:rsidR="007B4F0F" w:rsidRPr="003578B7" w:rsidRDefault="003578B7" w:rsidP="00131209">
            <w:pPr>
              <w:pStyle w:val="Covertext"/>
              <w:shd w:val="clear" w:color="auto" w:fill="auto"/>
              <w:rPr>
                <w:b/>
              </w:rPr>
            </w:pPr>
            <w:r>
              <w:rPr>
                <w:b/>
              </w:rPr>
              <w:t>Use Frequency</w:t>
            </w:r>
          </w:p>
        </w:tc>
        <w:tc>
          <w:tcPr>
            <w:tcW w:w="2366" w:type="dxa"/>
          </w:tcPr>
          <w:p w14:paraId="1028C19C" w14:textId="2583A3F5" w:rsidR="007B4F0F" w:rsidRDefault="003578B7" w:rsidP="00131209">
            <w:pPr>
              <w:pStyle w:val="Covertext"/>
              <w:shd w:val="clear" w:color="auto" w:fill="auto"/>
            </w:pPr>
            <w:r>
              <w:t>rare</w:t>
            </w:r>
          </w:p>
        </w:tc>
        <w:tc>
          <w:tcPr>
            <w:tcW w:w="2366" w:type="dxa"/>
          </w:tcPr>
          <w:p w14:paraId="069832A6" w14:textId="0EE5EB61" w:rsidR="007B4F0F" w:rsidRDefault="003578B7" w:rsidP="00131209">
            <w:pPr>
              <w:pStyle w:val="Covertext"/>
              <w:shd w:val="clear" w:color="auto" w:fill="auto"/>
            </w:pPr>
            <w:r>
              <w:t>occasional</w:t>
            </w:r>
          </w:p>
        </w:tc>
        <w:tc>
          <w:tcPr>
            <w:tcW w:w="2368" w:type="dxa"/>
          </w:tcPr>
          <w:p w14:paraId="17DBCDE5" w14:textId="2C2B298E" w:rsidR="007B4F0F" w:rsidRDefault="003578B7" w:rsidP="00131209">
            <w:pPr>
              <w:pStyle w:val="Covertext"/>
              <w:shd w:val="clear" w:color="auto" w:fill="auto"/>
            </w:pPr>
            <w:r>
              <w:t>full-time production</w:t>
            </w:r>
          </w:p>
        </w:tc>
      </w:tr>
      <w:tr w:rsidR="003578B7" w14:paraId="61D0720F" w14:textId="77777777" w:rsidTr="003578B7">
        <w:trPr>
          <w:trHeight w:val="377"/>
        </w:trPr>
        <w:tc>
          <w:tcPr>
            <w:tcW w:w="2366" w:type="dxa"/>
          </w:tcPr>
          <w:p w14:paraId="69D42565" w14:textId="13A62061" w:rsidR="007B4F0F" w:rsidRPr="003578B7" w:rsidRDefault="003578B7" w:rsidP="00131209">
            <w:pPr>
              <w:pStyle w:val="Covertext"/>
              <w:shd w:val="clear" w:color="auto" w:fill="auto"/>
              <w:rPr>
                <w:b/>
              </w:rPr>
            </w:pPr>
            <w:r w:rsidRPr="003578B7">
              <w:rPr>
                <w:b/>
              </w:rPr>
              <w:t>Cost</w:t>
            </w:r>
          </w:p>
        </w:tc>
        <w:tc>
          <w:tcPr>
            <w:tcW w:w="2366" w:type="dxa"/>
          </w:tcPr>
          <w:p w14:paraId="0AAB8C1B" w14:textId="7A7D82FB" w:rsidR="007B4F0F" w:rsidRDefault="003578B7" w:rsidP="00131209">
            <w:pPr>
              <w:pStyle w:val="Covertext"/>
              <w:shd w:val="clear" w:color="auto" w:fill="auto"/>
            </w:pPr>
            <w:r>
              <w:t>$1 – $5</w:t>
            </w:r>
          </w:p>
        </w:tc>
        <w:tc>
          <w:tcPr>
            <w:tcW w:w="2366" w:type="dxa"/>
          </w:tcPr>
          <w:p w14:paraId="722A974F" w14:textId="4A27FC71" w:rsidR="007B4F0F" w:rsidRDefault="003578B7" w:rsidP="00131209">
            <w:pPr>
              <w:pStyle w:val="Covertext"/>
              <w:shd w:val="clear" w:color="auto" w:fill="auto"/>
            </w:pPr>
            <w:r>
              <w:t>$400 - $800</w:t>
            </w:r>
          </w:p>
        </w:tc>
        <w:tc>
          <w:tcPr>
            <w:tcW w:w="2368" w:type="dxa"/>
          </w:tcPr>
          <w:p w14:paraId="66FBB80B" w14:textId="7B0C5496" w:rsidR="007B4F0F" w:rsidRDefault="003578B7" w:rsidP="00131209">
            <w:pPr>
              <w:pStyle w:val="Covertext"/>
              <w:shd w:val="clear" w:color="auto" w:fill="auto"/>
            </w:pPr>
            <w:r>
              <w:t>$2000 - $8000</w:t>
            </w:r>
          </w:p>
        </w:tc>
      </w:tr>
      <w:tr w:rsidR="003578B7" w14:paraId="7107A731" w14:textId="77777777" w:rsidTr="003578B7">
        <w:trPr>
          <w:trHeight w:val="392"/>
        </w:trPr>
        <w:tc>
          <w:tcPr>
            <w:tcW w:w="2366" w:type="dxa"/>
          </w:tcPr>
          <w:p w14:paraId="14B49127" w14:textId="3C16CF25" w:rsidR="007B4F0F" w:rsidRPr="003578B7" w:rsidRDefault="003578B7" w:rsidP="00131209">
            <w:pPr>
              <w:pStyle w:val="Covertext"/>
              <w:shd w:val="clear" w:color="auto" w:fill="auto"/>
              <w:rPr>
                <w:b/>
              </w:rPr>
            </w:pPr>
            <w:r w:rsidRPr="003578B7">
              <w:rPr>
                <w:b/>
              </w:rPr>
              <w:t>Quality</w:t>
            </w:r>
          </w:p>
        </w:tc>
        <w:tc>
          <w:tcPr>
            <w:tcW w:w="2366" w:type="dxa"/>
          </w:tcPr>
          <w:p w14:paraId="6E3147A0" w14:textId="521590F0" w:rsidR="007B4F0F" w:rsidRDefault="003578B7" w:rsidP="00131209">
            <w:pPr>
              <w:pStyle w:val="Covertext"/>
              <w:shd w:val="clear" w:color="auto" w:fill="auto"/>
            </w:pPr>
            <w:r>
              <w:t>poor</w:t>
            </w:r>
          </w:p>
        </w:tc>
        <w:tc>
          <w:tcPr>
            <w:tcW w:w="2366" w:type="dxa"/>
          </w:tcPr>
          <w:p w14:paraId="7395C9BF" w14:textId="20662081" w:rsidR="007B4F0F" w:rsidRDefault="003578B7" w:rsidP="00131209">
            <w:pPr>
              <w:pStyle w:val="Covertext"/>
              <w:shd w:val="clear" w:color="auto" w:fill="auto"/>
            </w:pPr>
            <w:r>
              <w:t>good</w:t>
            </w:r>
          </w:p>
        </w:tc>
        <w:tc>
          <w:tcPr>
            <w:tcW w:w="2368" w:type="dxa"/>
          </w:tcPr>
          <w:p w14:paraId="546991B5" w14:textId="08F9BC20" w:rsidR="007B4F0F" w:rsidRDefault="003578B7" w:rsidP="00131209">
            <w:pPr>
              <w:pStyle w:val="Covertext"/>
              <w:shd w:val="clear" w:color="auto" w:fill="auto"/>
            </w:pPr>
            <w:r>
              <w:t>excellent</w:t>
            </w:r>
          </w:p>
        </w:tc>
      </w:tr>
    </w:tbl>
    <w:p w14:paraId="4DC970EE" w14:textId="030593E8" w:rsidR="007B4F0F" w:rsidRDefault="00D30F4F" w:rsidP="00D30F4F">
      <w:pPr>
        <w:pStyle w:val="Covertext"/>
        <w:jc w:val="center"/>
      </w:pPr>
      <w:r>
        <w:t>Table 1: Comparison of stereo display system attributes</w:t>
      </w:r>
    </w:p>
    <w:p w14:paraId="127291EF" w14:textId="77777777" w:rsidR="00D30F4F" w:rsidRDefault="00D30F4F" w:rsidP="00131209">
      <w:pPr>
        <w:pStyle w:val="Covertext"/>
      </w:pPr>
    </w:p>
    <w:p w14:paraId="66CE2324" w14:textId="1084E1FC" w:rsidR="007B4F0F" w:rsidRPr="00937784" w:rsidRDefault="00937784" w:rsidP="002903EC">
      <w:pPr>
        <w:pStyle w:val="Covertext"/>
      </w:pPr>
      <w:r w:rsidRPr="00937784">
        <w:t>The following sections discuss the hardware required for the 3 types of stereo viewing systems.</w:t>
      </w:r>
    </w:p>
    <w:p w14:paraId="124FBA8B" w14:textId="3456DD34" w:rsidR="00BA4597" w:rsidRPr="00BA4597" w:rsidRDefault="00177907" w:rsidP="00BA4597">
      <w:pPr>
        <w:pStyle w:val="ListA1"/>
        <w:rPr>
          <w:b/>
          <w:color w:val="auto"/>
          <w:sz w:val="36"/>
        </w:rPr>
      </w:pPr>
      <w:r w:rsidRPr="00937784">
        <w:rPr>
          <w:rStyle w:val="Hyperlink"/>
          <w:b/>
          <w:color w:val="auto"/>
          <w:sz w:val="36"/>
          <w:u w:val="none"/>
        </w:rPr>
        <w:t>Anaglyph</w:t>
      </w:r>
    </w:p>
    <w:p w14:paraId="64C22AB6" w14:textId="493C92BA" w:rsidR="00EC798C" w:rsidRPr="00CF14E2" w:rsidRDefault="00177907" w:rsidP="00EC798C">
      <w:pPr>
        <w:spacing w:line="240" w:lineRule="exact"/>
        <w:rPr>
          <w:szCs w:val="24"/>
        </w:rPr>
      </w:pPr>
      <w:r>
        <w:rPr>
          <w:b/>
          <w:bCs/>
          <w:szCs w:val="24"/>
        </w:rPr>
        <w:t>Glasses</w:t>
      </w:r>
    </w:p>
    <w:p w14:paraId="39D39A2B" w14:textId="491E6E53" w:rsidR="00EC798C" w:rsidRDefault="00EC798C" w:rsidP="0008214D">
      <w:pPr>
        <w:pStyle w:val="Covertext"/>
        <w:ind w:left="720"/>
      </w:pPr>
      <w:r w:rsidRPr="00CF14E2">
        <w:t xml:space="preserve">Anaglyph stereo allows a user to see in stereo by displaying the red and blue channels slightly offset on the computer screen.  The glasses used to view these (usually) contain a red lens for the left eye, and either a blue or, more recently, a cyan lens for the right eye.  These filter what information passes to each eye, and the visual cortex of the brain creates the perceived three dimensional scene. </w:t>
      </w:r>
    </w:p>
    <w:p w14:paraId="1F94683F" w14:textId="2A08FAF4" w:rsidR="0008214D" w:rsidRPr="00CF14E2" w:rsidRDefault="00BA4597" w:rsidP="00544E7B">
      <w:pPr>
        <w:pStyle w:val="Covertext"/>
        <w:ind w:left="720"/>
        <w:jc w:val="center"/>
      </w:pPr>
      <w:r>
        <w:rPr>
          <w:noProof/>
        </w:rPr>
        <w:lastRenderedPageBreak/>
        <w:drawing>
          <wp:inline distT="0" distB="0" distL="0" distR="0" wp14:anchorId="359038F5" wp14:editId="481B1556">
            <wp:extent cx="2828925" cy="1689927"/>
            <wp:effectExtent l="0" t="0" r="0" b="5715"/>
            <wp:docPr id="8" name="Picture 8" descr="anaglyph 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36367" cy="1694373"/>
                    </a:xfrm>
                    <a:prstGeom prst="rect">
                      <a:avLst/>
                    </a:prstGeom>
                  </pic:spPr>
                </pic:pic>
              </a:graphicData>
            </a:graphic>
          </wp:inline>
        </w:drawing>
      </w:r>
    </w:p>
    <w:p w14:paraId="05CE2783" w14:textId="016174FD" w:rsidR="00EC798C" w:rsidRDefault="00EC798C" w:rsidP="00EC798C">
      <w:pPr>
        <w:pStyle w:val="Covertext"/>
        <w:ind w:left="720"/>
      </w:pPr>
      <w:r w:rsidRPr="00CF14E2">
        <w:t xml:space="preserve">Other than the red/blue or red/cyan option, there is one other basic decision to make when purchasing anaglyph glasses: paper or plastic.  Paper glasses are similar to what they </w:t>
      </w:r>
      <w:r w:rsidR="005A6108">
        <w:t xml:space="preserve">used to </w:t>
      </w:r>
      <w:r w:rsidRPr="00CF14E2">
        <w:t>hand out in the theaters, and are a good option if you need to buy in bulk, but will be less durable.  Plastic glasses will cost much more than their paper counterparts, but will be made with higher quality plastic lenses, and have usually been further treated to eliminate ghosting which is common in anaglyphs.  Plastic glasses do not always fit over corrective glasses, however.</w:t>
      </w:r>
      <w:r>
        <w:t xml:space="preserve"> </w:t>
      </w:r>
      <w:r w:rsidRPr="00CF14E2">
        <w:t>Some sources for anaglyph</w:t>
      </w:r>
      <w:r w:rsidR="00F05387">
        <w:t xml:space="preserve"> glasses are listed below</w:t>
      </w:r>
      <w:r w:rsidRPr="00CF14E2">
        <w:t>. </w:t>
      </w:r>
      <w:r w:rsidR="00FC73C4">
        <w:t xml:space="preserve">These glasses can be purchased online from numerous companies at prices ranging from 0.25$ to $5. </w:t>
      </w:r>
    </w:p>
    <w:p w14:paraId="0370F2AE" w14:textId="1B25A05D" w:rsidR="00BA4597" w:rsidRDefault="00BA4597" w:rsidP="00BA4597">
      <w:pPr>
        <w:pStyle w:val="Covertext"/>
        <w:ind w:left="720"/>
        <w:jc w:val="center"/>
      </w:pPr>
    </w:p>
    <w:p w14:paraId="2C7C9062" w14:textId="41BBDA0A" w:rsidR="00177907" w:rsidRDefault="00177907" w:rsidP="00177907">
      <w:pPr>
        <w:pStyle w:val="Covertext"/>
        <w:rPr>
          <w:rStyle w:val="Hyperlink"/>
          <w:b/>
          <w:color w:val="auto"/>
          <w:u w:val="none"/>
        </w:rPr>
      </w:pPr>
      <w:r w:rsidRPr="00177907">
        <w:rPr>
          <w:rStyle w:val="Hyperlink"/>
          <w:b/>
          <w:color w:val="auto"/>
          <w:u w:val="none"/>
        </w:rPr>
        <w:t>Monitor</w:t>
      </w:r>
    </w:p>
    <w:p w14:paraId="12D405E8" w14:textId="039BED2E" w:rsidR="00177907" w:rsidRDefault="00177907" w:rsidP="00177907">
      <w:pPr>
        <w:pStyle w:val="Covertext"/>
        <w:ind w:left="720"/>
      </w:pPr>
      <w:r>
        <w:t xml:space="preserve">Viewing in anaglyph simply requires a standard LCD monitor that most FS computers have. </w:t>
      </w:r>
      <w:r w:rsidRPr="005B3C3E">
        <w:t>Display resolution of</w:t>
      </w:r>
      <w:r w:rsidR="005C4E92">
        <w:t xml:space="preserve"> at least 1024 X 768 X 32 or </w:t>
      </w:r>
      <w:r w:rsidRPr="005B3C3E">
        <w:t xml:space="preserve">higher </w:t>
      </w:r>
      <w:r w:rsidR="005C4E92">
        <w:t xml:space="preserve">is </w:t>
      </w:r>
      <w:r w:rsidRPr="005B3C3E">
        <w:t>recommended</w:t>
      </w:r>
      <w:r w:rsidR="005C4E92">
        <w:t>.</w:t>
      </w:r>
    </w:p>
    <w:p w14:paraId="6AF355F1" w14:textId="77777777" w:rsidR="00177907" w:rsidRDefault="00177907" w:rsidP="00177907">
      <w:pPr>
        <w:pStyle w:val="Covertext"/>
        <w:ind w:left="720"/>
      </w:pPr>
    </w:p>
    <w:p w14:paraId="1434F564" w14:textId="4EB6B41A" w:rsidR="00177907" w:rsidRDefault="00177907" w:rsidP="00177907">
      <w:pPr>
        <w:pStyle w:val="Covertext"/>
        <w:rPr>
          <w:b/>
        </w:rPr>
      </w:pPr>
      <w:r w:rsidRPr="00177907">
        <w:rPr>
          <w:b/>
        </w:rPr>
        <w:t>Graphics Card</w:t>
      </w:r>
    </w:p>
    <w:p w14:paraId="75E8B328" w14:textId="66273E97" w:rsidR="00177907" w:rsidRDefault="00177907" w:rsidP="00177907">
      <w:pPr>
        <w:pStyle w:val="Covertext"/>
        <w:ind w:left="720"/>
      </w:pPr>
      <w:r>
        <w:t>T</w:t>
      </w:r>
      <w:r w:rsidRPr="005B3C3E">
        <w:t xml:space="preserve">he latest graphics card drivers </w:t>
      </w:r>
      <w:r w:rsidR="005C4E92">
        <w:t xml:space="preserve">are </w:t>
      </w:r>
      <w:r w:rsidRPr="005B3C3E">
        <w:t>recommended</w:t>
      </w:r>
    </w:p>
    <w:p w14:paraId="52281AD1" w14:textId="77777777" w:rsidR="00177907" w:rsidRPr="00177907" w:rsidRDefault="00177907" w:rsidP="00177907">
      <w:pPr>
        <w:pStyle w:val="Covertext"/>
        <w:ind w:left="720"/>
        <w:rPr>
          <w:b/>
        </w:rPr>
      </w:pPr>
    </w:p>
    <w:p w14:paraId="7F3E446D" w14:textId="44E061C1" w:rsidR="00177907" w:rsidRPr="00C6589D" w:rsidRDefault="00937784" w:rsidP="008852B5">
      <w:pPr>
        <w:pStyle w:val="ListA1"/>
        <w:rPr>
          <w:rStyle w:val="Hyperlink"/>
          <w:b/>
          <w:color w:val="auto"/>
          <w:sz w:val="36"/>
          <w:u w:val="none"/>
        </w:rPr>
      </w:pPr>
      <w:r>
        <w:rPr>
          <w:rStyle w:val="Hyperlink"/>
          <w:b/>
          <w:color w:val="auto"/>
          <w:sz w:val="36"/>
          <w:u w:val="none"/>
        </w:rPr>
        <w:t>Active</w:t>
      </w:r>
    </w:p>
    <w:p w14:paraId="20506ABD" w14:textId="3385CBB2" w:rsidR="00E91364" w:rsidRDefault="00E91364" w:rsidP="005C4E92">
      <w:pPr>
        <w:pStyle w:val="Covertext"/>
        <w:rPr>
          <w:rStyle w:val="Hyperlink"/>
          <w:b/>
          <w:color w:val="auto"/>
          <w:u w:val="none"/>
        </w:rPr>
      </w:pPr>
      <w:r>
        <w:rPr>
          <w:noProof/>
        </w:rPr>
        <w:drawing>
          <wp:inline distT="0" distB="0" distL="0" distR="0" wp14:anchorId="2EE4455B" wp14:editId="387F709B">
            <wp:extent cx="6181725" cy="2616006"/>
            <wp:effectExtent l="0" t="0" r="0" b="0"/>
            <wp:docPr id="5" name="Picture 5" descr="active stereo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90543" cy="2619738"/>
                    </a:xfrm>
                    <a:prstGeom prst="rect">
                      <a:avLst/>
                    </a:prstGeom>
                  </pic:spPr>
                </pic:pic>
              </a:graphicData>
            </a:graphic>
          </wp:inline>
        </w:drawing>
      </w:r>
    </w:p>
    <w:p w14:paraId="095DB6EF" w14:textId="6338BDD0" w:rsidR="00037D2C" w:rsidRDefault="00C6589D" w:rsidP="00037D2C">
      <w:pPr>
        <w:pStyle w:val="Covertext"/>
        <w:rPr>
          <w:rStyle w:val="Hyperlink"/>
          <w:b/>
          <w:color w:val="auto"/>
          <w:u w:val="none"/>
        </w:rPr>
      </w:pPr>
      <w:r>
        <w:rPr>
          <w:rStyle w:val="Hyperlink"/>
          <w:b/>
          <w:color w:val="auto"/>
          <w:u w:val="none"/>
        </w:rPr>
        <w:t>Glasses</w:t>
      </w:r>
    </w:p>
    <w:p w14:paraId="701C5F47" w14:textId="151998A8" w:rsidR="005852F5" w:rsidRDefault="0008214D" w:rsidP="00FC73C4">
      <w:pPr>
        <w:pStyle w:val="Covertext"/>
        <w:ind w:left="720"/>
      </w:pPr>
      <w:r w:rsidRPr="00CF14E2">
        <w:lastRenderedPageBreak/>
        <w:t xml:space="preserve">Active shutter </w:t>
      </w:r>
      <w:r>
        <w:t xml:space="preserve">glasses </w:t>
      </w:r>
      <w:r w:rsidRPr="00CF14E2">
        <w:t>are specially designed with a set of shutters in each lens, opening and closing alternately to trick the eyes into thinking they are seeing in 3D.  The lens action is synchronized by an emitter in combination with the software. The screen rapidly alternates between the two images of a stereo pair as the shutters open and close, allowing the left eye to see only the left image, and the right eye to see only the right image. To accomplish this, there are two requirements.  First, the monitor must be able to refresh rapidly enough.  A 120 Hz refresh system is required so that each “side” of the image can be refreshed at 60 Hz.  Second, it will require a graphics card of sufficient quality to push the graphics, which could add to the cost.</w:t>
      </w:r>
      <w:r w:rsidR="00FC73C4">
        <w:t xml:space="preserve">  These glasses can be purchased online from numerous companies at prices</w:t>
      </w:r>
      <w:r w:rsidR="003C6643">
        <w:t xml:space="preserve"> ranging from $15 to $150</w:t>
      </w:r>
      <w:r w:rsidR="00FC73C4">
        <w:t xml:space="preserve">. </w:t>
      </w:r>
      <w:r w:rsidR="00C65C09">
        <w:t xml:space="preserve"> We recommend </w:t>
      </w:r>
      <w:r w:rsidR="003C6643">
        <w:t xml:space="preserve">the </w:t>
      </w:r>
      <w:hyperlink r:id="rId10" w:history="1">
        <w:r w:rsidR="00C65C09" w:rsidRPr="00C65C09">
          <w:rPr>
            <w:rStyle w:val="Hyperlink"/>
          </w:rPr>
          <w:t>NVIDIA Vision 2 Wireless Glasses Kit</w:t>
        </w:r>
      </w:hyperlink>
      <w:r w:rsidR="00C65C09">
        <w:t xml:space="preserve"> which</w:t>
      </w:r>
      <w:r w:rsidR="00E91364">
        <w:t xml:space="preserve"> includes an emitter and</w:t>
      </w:r>
      <w:r w:rsidR="00C65C09">
        <w:t xml:space="preserve"> retails for about $130. </w:t>
      </w:r>
      <w:r w:rsidR="003C6643">
        <w:t xml:space="preserve">    </w:t>
      </w:r>
    </w:p>
    <w:p w14:paraId="2C3FF33F" w14:textId="77777777" w:rsidR="00E749E5" w:rsidRDefault="00E749E5" w:rsidP="0008214D">
      <w:pPr>
        <w:pStyle w:val="Covertext"/>
        <w:ind w:left="720"/>
      </w:pPr>
    </w:p>
    <w:p w14:paraId="00311CE6" w14:textId="44A0242E" w:rsidR="00E749E5" w:rsidRDefault="00E749E5" w:rsidP="00E749E5">
      <w:pPr>
        <w:pStyle w:val="Covertext"/>
        <w:rPr>
          <w:rStyle w:val="Hyperlink"/>
          <w:b/>
          <w:color w:val="auto"/>
          <w:u w:val="none"/>
        </w:rPr>
      </w:pPr>
      <w:r>
        <w:rPr>
          <w:rStyle w:val="Hyperlink"/>
          <w:b/>
          <w:color w:val="auto"/>
          <w:u w:val="none"/>
        </w:rPr>
        <w:t>Monitor</w:t>
      </w:r>
    </w:p>
    <w:p w14:paraId="349DC7F1" w14:textId="6BF7C76C" w:rsidR="005A25E3" w:rsidRPr="0011315D" w:rsidRDefault="007C322D" w:rsidP="0011315D">
      <w:pPr>
        <w:pStyle w:val="Covertext"/>
        <w:ind w:left="720"/>
      </w:pPr>
      <w:r>
        <w:t xml:space="preserve">The monitor must have a </w:t>
      </w:r>
      <w:r w:rsidRPr="00E91364">
        <w:rPr>
          <w:b/>
        </w:rPr>
        <w:t>LCD</w:t>
      </w:r>
      <w:r>
        <w:t xml:space="preserve"> (liquid crystal display) and have a refresh rate of at least </w:t>
      </w:r>
      <w:r w:rsidRPr="00E91364">
        <w:rPr>
          <w:b/>
        </w:rPr>
        <w:t>120 Hz</w:t>
      </w:r>
      <w:r>
        <w:t xml:space="preserve"> to be used as an active stereo display.</w:t>
      </w:r>
      <w:r w:rsidR="00AB62AE">
        <w:t xml:space="preserve">  It is good to have a second monitor for viewing ArcGIS. </w:t>
      </w:r>
      <w:r>
        <w:t xml:space="preserve"> </w:t>
      </w:r>
      <w:r w:rsidR="0011315D">
        <w:t xml:space="preserve">Ideally, the monitor port should match the port on the graphics card </w:t>
      </w:r>
      <w:r w:rsidR="006450B9">
        <w:t xml:space="preserve">(see </w:t>
      </w:r>
      <w:r w:rsidR="00420197">
        <w:t xml:space="preserve">Active </w:t>
      </w:r>
      <w:r w:rsidR="006450B9">
        <w:t>System Setup Checklist</w:t>
      </w:r>
      <w:r w:rsidR="0011315D">
        <w:t xml:space="preserve"> section below for more informatio</w:t>
      </w:r>
      <w:r w:rsidR="00682CFC">
        <w:t>n).  Please visit the NVIDIA website</w:t>
      </w:r>
      <w:r w:rsidR="0011315D">
        <w:t xml:space="preserve"> for a </w:t>
      </w:r>
      <w:hyperlink r:id="rId11" w:history="1">
        <w:r w:rsidR="0011315D" w:rsidRPr="00682CFC">
          <w:rPr>
            <w:rStyle w:val="Hyperlink"/>
          </w:rPr>
          <w:t>list of recommended monitors</w:t>
        </w:r>
      </w:hyperlink>
      <w:r w:rsidR="00682CFC">
        <w:t>.</w:t>
      </w:r>
      <w:r w:rsidR="00682CFC" w:rsidRPr="0011315D">
        <w:t xml:space="preserve"> </w:t>
      </w:r>
    </w:p>
    <w:p w14:paraId="02ECA9E3" w14:textId="77777777" w:rsidR="0011315D" w:rsidRDefault="0011315D" w:rsidP="005852F5">
      <w:pPr>
        <w:ind w:left="720"/>
        <w:rPr>
          <w:b/>
          <w:bCs/>
        </w:rPr>
      </w:pPr>
    </w:p>
    <w:p w14:paraId="6C151EC6" w14:textId="2E61B5E8" w:rsidR="005852F5" w:rsidRPr="00DC157A" w:rsidRDefault="005A25E3" w:rsidP="005852F5">
      <w:pPr>
        <w:ind w:left="720"/>
      </w:pPr>
      <w:r>
        <w:rPr>
          <w:b/>
          <w:bCs/>
        </w:rPr>
        <w:t xml:space="preserve">3D </w:t>
      </w:r>
      <w:r w:rsidR="007C322D">
        <w:rPr>
          <w:b/>
          <w:bCs/>
        </w:rPr>
        <w:t>Laptops</w:t>
      </w:r>
    </w:p>
    <w:p w14:paraId="014A77D6" w14:textId="7C887479" w:rsidR="005852F5" w:rsidRPr="00DC157A" w:rsidRDefault="007C322D" w:rsidP="005A25E3">
      <w:pPr>
        <w:pStyle w:val="Covertext"/>
        <w:ind w:left="720"/>
      </w:pPr>
      <w:r>
        <w:t>Laptops</w:t>
      </w:r>
      <w:r w:rsidR="005852F5" w:rsidRPr="00DC157A">
        <w:t xml:space="preserve"> with 3D capability through active shutter glasses</w:t>
      </w:r>
      <w:r w:rsidR="005852F5">
        <w:t xml:space="preserve"> and an integrated IR emitter</w:t>
      </w:r>
      <w:r w:rsidR="005852F5" w:rsidRPr="00DC157A">
        <w:t xml:space="preserve"> are </w:t>
      </w:r>
      <w:r w:rsidR="005852F5">
        <w:t>becoming more commonplace</w:t>
      </w:r>
      <w:r w:rsidR="0098302E">
        <w:t>.  Howe</w:t>
      </w:r>
      <w:r>
        <w:t>ver, since the laptops</w:t>
      </w:r>
      <w:r w:rsidR="005852F5" w:rsidRPr="00DC157A">
        <w:t xml:space="preserve"> will not include any type </w:t>
      </w:r>
      <w:proofErr w:type="spellStart"/>
      <w:r w:rsidR="005852F5" w:rsidRPr="00DC157A">
        <w:t>ruggedization</w:t>
      </w:r>
      <w:proofErr w:type="spellEnd"/>
      <w:r w:rsidR="005852F5" w:rsidRPr="00DC157A">
        <w:t xml:space="preserve">, their suitability for field use will be extremely limited.  </w:t>
      </w:r>
    </w:p>
    <w:p w14:paraId="667D1304" w14:textId="16B11BE3" w:rsidR="0092062E" w:rsidRDefault="005852F5" w:rsidP="0035274F">
      <w:pPr>
        <w:ind w:left="720"/>
        <w:rPr>
          <w:rFonts w:ascii="Calibri" w:hAnsi="Calibri"/>
        </w:rPr>
      </w:pPr>
      <w:r w:rsidRPr="009B1D78">
        <w:rPr>
          <w:rFonts w:ascii="Calibri" w:hAnsi="Calibri"/>
        </w:rPr>
        <w:t>Since the list of available models changes rapidly, we list here several manufacturers of suitable laptops rather than listing specific models: ASUS (</w:t>
      </w:r>
      <w:hyperlink r:id="rId12" w:history="1">
        <w:r w:rsidRPr="004671EC">
          <w:rPr>
            <w:rStyle w:val="Hyperlink"/>
            <w:rFonts w:ascii="Calibri" w:hAnsi="Calibri"/>
          </w:rPr>
          <w:t>www.asus.com/us</w:t>
        </w:r>
      </w:hyperlink>
      <w:r w:rsidRPr="009B1D78">
        <w:rPr>
          <w:rFonts w:ascii="Calibri" w:hAnsi="Calibri"/>
        </w:rPr>
        <w:t>), Acer (</w:t>
      </w:r>
      <w:hyperlink r:id="rId13" w:history="1">
        <w:r w:rsidRPr="004671EC">
          <w:rPr>
            <w:rStyle w:val="Hyperlink"/>
            <w:rFonts w:ascii="Calibri" w:hAnsi="Calibri"/>
          </w:rPr>
          <w:t>www.acer.com</w:t>
        </w:r>
      </w:hyperlink>
      <w:r w:rsidRPr="009B1D78">
        <w:rPr>
          <w:rFonts w:ascii="Calibri" w:hAnsi="Calibri"/>
        </w:rPr>
        <w:t>), Sony (</w:t>
      </w:r>
      <w:hyperlink r:id="rId14" w:history="1">
        <w:r w:rsidRPr="004671EC">
          <w:rPr>
            <w:rStyle w:val="Hyperlink"/>
            <w:rFonts w:ascii="Calibri" w:hAnsi="Calibri"/>
          </w:rPr>
          <w:t>www.sony.com</w:t>
        </w:r>
      </w:hyperlink>
      <w:r w:rsidRPr="009B1D78">
        <w:rPr>
          <w:rFonts w:ascii="Calibri" w:hAnsi="Calibri"/>
        </w:rPr>
        <w:t xml:space="preserve">), </w:t>
      </w:r>
      <w:proofErr w:type="spellStart"/>
      <w:r w:rsidRPr="009B1D78">
        <w:rPr>
          <w:rFonts w:ascii="Calibri" w:hAnsi="Calibri"/>
        </w:rPr>
        <w:t>Alienware</w:t>
      </w:r>
      <w:proofErr w:type="spellEnd"/>
      <w:r w:rsidRPr="009B1D78">
        <w:rPr>
          <w:rFonts w:ascii="Calibri" w:hAnsi="Calibri"/>
        </w:rPr>
        <w:t xml:space="preserve"> (</w:t>
      </w:r>
      <w:hyperlink r:id="rId15" w:history="1">
        <w:r w:rsidRPr="000C2F25">
          <w:rPr>
            <w:rStyle w:val="Hyperlink"/>
            <w:rFonts w:ascii="Calibri" w:hAnsi="Calibri"/>
          </w:rPr>
          <w:t>www.alienware.com</w:t>
        </w:r>
      </w:hyperlink>
      <w:r w:rsidRPr="009B1D78">
        <w:rPr>
          <w:rFonts w:ascii="Calibri" w:hAnsi="Calibri"/>
        </w:rPr>
        <w:t>).</w:t>
      </w:r>
    </w:p>
    <w:p w14:paraId="4C6F0338" w14:textId="27DD8A74" w:rsidR="0092062E" w:rsidRPr="0092062E" w:rsidRDefault="0092062E" w:rsidP="00C65C09">
      <w:pPr>
        <w:spacing w:after="160" w:line="259" w:lineRule="auto"/>
      </w:pPr>
    </w:p>
    <w:p w14:paraId="4E835E76" w14:textId="4DBD60C2" w:rsidR="008852B5" w:rsidRPr="00975C55" w:rsidRDefault="00D61C2B" w:rsidP="00975C55">
      <w:pPr>
        <w:pStyle w:val="Covertext"/>
        <w:rPr>
          <w:b/>
        </w:rPr>
      </w:pPr>
      <w:r w:rsidRPr="00D61C2B">
        <w:rPr>
          <w:rStyle w:val="Hyperlink"/>
          <w:b/>
          <w:color w:val="auto"/>
          <w:u w:val="none"/>
        </w:rPr>
        <w:t>Graphics Card</w:t>
      </w:r>
    </w:p>
    <w:p w14:paraId="054EADCD" w14:textId="3D21A96D" w:rsidR="008852B5" w:rsidRPr="008852B5" w:rsidRDefault="008852B5" w:rsidP="008852B5">
      <w:pPr>
        <w:ind w:left="720"/>
        <w:rPr>
          <w:rFonts w:ascii="Calibri" w:hAnsi="Calibri"/>
        </w:rPr>
      </w:pPr>
      <w:r>
        <w:t>U</w:t>
      </w:r>
      <w:r w:rsidRPr="005B3C3E">
        <w:t>pgrading the graphics drivers will typically solve most issues.</w:t>
      </w:r>
      <w:r>
        <w:t xml:space="preserve"> These should be updated from the manufacture website and not the disk that comes with the graphics card, even for newly purchased cards.</w:t>
      </w:r>
    </w:p>
    <w:p w14:paraId="0EA7981E" w14:textId="43A74A9B" w:rsidR="008852B5" w:rsidRDefault="003F4DDE" w:rsidP="00172D04">
      <w:pPr>
        <w:spacing w:after="160" w:line="259" w:lineRule="auto"/>
        <w:ind w:left="720"/>
        <w:rPr>
          <w:rStyle w:val="Hyperlink"/>
          <w:color w:val="auto"/>
          <w:u w:val="none"/>
        </w:rPr>
      </w:pPr>
      <w:r>
        <w:t>The current class 3A,</w:t>
      </w:r>
      <w:r w:rsidR="005852F5">
        <w:t xml:space="preserve"> 3B</w:t>
      </w:r>
      <w:r>
        <w:t>, and 4</w:t>
      </w:r>
      <w:r w:rsidR="005852F5">
        <w:t xml:space="preserve"> systems</w:t>
      </w:r>
      <w:r w:rsidR="00E91364">
        <w:t xml:space="preserve"> commonly used in the agency</w:t>
      </w:r>
      <w:r>
        <w:t xml:space="preserve"> come with</w:t>
      </w:r>
      <w:r w:rsidR="005852F5">
        <w:t xml:space="preserve"> </w:t>
      </w:r>
      <w:r w:rsidR="005852F5" w:rsidRPr="00CF14E2">
        <w:t xml:space="preserve">NVIDIA </w:t>
      </w:r>
      <w:proofErr w:type="spellStart"/>
      <w:r w:rsidR="005852F5" w:rsidRPr="00CF14E2">
        <w:t>Quadro</w:t>
      </w:r>
      <w:proofErr w:type="spellEnd"/>
      <w:r w:rsidR="005852F5" w:rsidRPr="00CF14E2">
        <w:t xml:space="preserve"> </w:t>
      </w:r>
      <w:r>
        <w:t xml:space="preserve">cards which are </w:t>
      </w:r>
      <w:r w:rsidR="005852F5">
        <w:t xml:space="preserve">compatible </w:t>
      </w:r>
      <w:r w:rsidR="005852F5" w:rsidRPr="00172D04">
        <w:rPr>
          <w:rStyle w:val="Hyperlink"/>
          <w:rFonts w:ascii="Calibri" w:hAnsi="Calibri"/>
          <w:color w:val="auto"/>
          <w:u w:val="none"/>
        </w:rPr>
        <w:t xml:space="preserve">with </w:t>
      </w:r>
      <w:r w:rsidR="00E91364" w:rsidRPr="00172D04">
        <w:rPr>
          <w:rStyle w:val="Hyperlink"/>
          <w:rFonts w:ascii="Calibri" w:hAnsi="Calibri"/>
          <w:color w:val="auto"/>
          <w:u w:val="none"/>
        </w:rPr>
        <w:t xml:space="preserve">NVIDIA </w:t>
      </w:r>
      <w:r w:rsidR="005852F5" w:rsidRPr="00172D04">
        <w:rPr>
          <w:rStyle w:val="Hyperlink"/>
          <w:rFonts w:ascii="Calibri" w:hAnsi="Calibri"/>
          <w:color w:val="auto"/>
          <w:u w:val="none"/>
        </w:rPr>
        <w:t>active 3D vision systems</w:t>
      </w:r>
      <w:r>
        <w:rPr>
          <w:rStyle w:val="Hyperlink"/>
          <w:rFonts w:ascii="Calibri" w:hAnsi="Calibri"/>
          <w:color w:val="auto"/>
          <w:u w:val="none"/>
        </w:rPr>
        <w:t xml:space="preserve"> and Summit Evolution</w:t>
      </w:r>
      <w:r w:rsidR="005852F5" w:rsidRPr="00172D04">
        <w:rPr>
          <w:rStyle w:val="Hyperlink"/>
          <w:rFonts w:ascii="Calibri" w:hAnsi="Calibri"/>
          <w:color w:val="auto"/>
          <w:u w:val="none"/>
        </w:rPr>
        <w:t>. Performance can be improved by purchasing a card with higher speed and memory, but this always comes at a cost.  You should look for a card with at least 512 MB memory, 25</w:t>
      </w:r>
      <w:r w:rsidR="005852F5" w:rsidRPr="00E2353A">
        <w:t xml:space="preserve"> GB</w:t>
      </w:r>
      <w:r w:rsidR="005852F5">
        <w:t xml:space="preserve"> per second speed, and a minimum on board video RAM of 2 GB.</w:t>
      </w:r>
      <w:r w:rsidR="004671EC">
        <w:t xml:space="preserve"> </w:t>
      </w:r>
    </w:p>
    <w:p w14:paraId="122CD8C5" w14:textId="3F308691" w:rsidR="00FC73C4" w:rsidRDefault="005852F5" w:rsidP="00172D04">
      <w:pPr>
        <w:pStyle w:val="Covertext"/>
        <w:ind w:left="720"/>
        <w:rPr>
          <w:color w:val="1F497D"/>
        </w:rPr>
      </w:pPr>
      <w:r w:rsidRPr="005852F5">
        <w:rPr>
          <w:rStyle w:val="Hyperlink"/>
          <w:color w:val="auto"/>
          <w:u w:val="none"/>
        </w:rPr>
        <w:t>Checking the compatibility of other cards m</w:t>
      </w:r>
      <w:r w:rsidR="003F4DDE">
        <w:rPr>
          <w:rStyle w:val="Hyperlink"/>
          <w:color w:val="auto"/>
          <w:u w:val="none"/>
        </w:rPr>
        <w:t xml:space="preserve">ay take some effort.  It’s </w:t>
      </w:r>
      <w:r w:rsidRPr="005852F5">
        <w:rPr>
          <w:rStyle w:val="Hyperlink"/>
          <w:color w:val="auto"/>
          <w:u w:val="none"/>
        </w:rPr>
        <w:t>best to order a card that is known to be compatible with both the 3D V</w:t>
      </w:r>
      <w:r>
        <w:rPr>
          <w:rStyle w:val="Hyperlink"/>
          <w:color w:val="auto"/>
          <w:u w:val="none"/>
        </w:rPr>
        <w:t>ision system and Summit Evolution</w:t>
      </w:r>
      <w:r w:rsidRPr="005852F5">
        <w:rPr>
          <w:rStyle w:val="Hyperlink"/>
          <w:color w:val="auto"/>
          <w:u w:val="none"/>
        </w:rPr>
        <w:t xml:space="preserve"> when purchasing a computer system to be used for stereo viewing.</w:t>
      </w:r>
      <w:r w:rsidR="0092062E">
        <w:rPr>
          <w:rStyle w:val="Hyperlink"/>
          <w:color w:val="auto"/>
          <w:u w:val="none"/>
        </w:rPr>
        <w:t xml:space="preserve"> </w:t>
      </w:r>
      <w:r w:rsidR="00975C55">
        <w:t xml:space="preserve">As with most computer technology, graphic cards quickly become obsolete as processors and architecture are improved.  Rather than try to maintain a list here, users are encouraged to review the webpages for the software to see the </w:t>
      </w:r>
      <w:r w:rsidR="00975C55">
        <w:lastRenderedPageBreak/>
        <w:t>currently recommended c</w:t>
      </w:r>
      <w:r w:rsidR="003C6643">
        <w:t>ards</w:t>
      </w:r>
      <w:r w:rsidR="00172D04">
        <w:t xml:space="preserve">. </w:t>
      </w:r>
      <w:hyperlink r:id="rId16" w:history="1">
        <w:r w:rsidR="00663305" w:rsidRPr="00AB62AE">
          <w:rPr>
            <w:rStyle w:val="Hyperlink"/>
          </w:rPr>
          <w:t>NV</w:t>
        </w:r>
        <w:r w:rsidR="00663305">
          <w:rPr>
            <w:rStyle w:val="Hyperlink"/>
          </w:rPr>
          <w:t>I</w:t>
        </w:r>
        <w:r w:rsidR="00663305" w:rsidRPr="00AB62AE">
          <w:rPr>
            <w:rStyle w:val="Hyperlink"/>
          </w:rPr>
          <w:t xml:space="preserve">DIA </w:t>
        </w:r>
        <w:proofErr w:type="spellStart"/>
        <w:r w:rsidR="00663305" w:rsidRPr="00AB62AE">
          <w:rPr>
            <w:rStyle w:val="Hyperlink"/>
          </w:rPr>
          <w:t>Quadro</w:t>
        </w:r>
        <w:proofErr w:type="spellEnd"/>
        <w:r w:rsidR="00663305" w:rsidRPr="00AB62AE">
          <w:rPr>
            <w:rStyle w:val="Hyperlink"/>
          </w:rPr>
          <w:t xml:space="preserve"> graphics cards</w:t>
        </w:r>
      </w:hyperlink>
      <w:r w:rsidR="00663305">
        <w:t xml:space="preserve"> are ideal</w:t>
      </w:r>
      <w:r w:rsidR="00663305">
        <w:rPr>
          <w:b/>
        </w:rPr>
        <w:t xml:space="preserve">. </w:t>
      </w:r>
      <w:r w:rsidR="00663305" w:rsidRPr="00663305">
        <w:t>However,</w:t>
      </w:r>
      <w:r w:rsidR="00663305">
        <w:rPr>
          <w:b/>
        </w:rPr>
        <w:t xml:space="preserve"> NVIDIA GeForce</w:t>
      </w:r>
      <w:r w:rsidR="00663305" w:rsidRPr="00AB62AE">
        <w:rPr>
          <w:b/>
        </w:rPr>
        <w:t xml:space="preserve"> Graphics Cards are NOT supported by DAT/EM software!</w:t>
      </w:r>
    </w:p>
    <w:p w14:paraId="6F7D0024" w14:textId="38DC99AA" w:rsidR="00C65C09" w:rsidRPr="00975C55" w:rsidRDefault="00420197" w:rsidP="00C65C09">
      <w:pPr>
        <w:pStyle w:val="Covertext"/>
        <w:rPr>
          <w:b/>
        </w:rPr>
      </w:pPr>
      <w:r>
        <w:rPr>
          <w:rStyle w:val="Hyperlink"/>
          <w:b/>
          <w:color w:val="auto"/>
          <w:u w:val="none"/>
        </w:rPr>
        <w:t xml:space="preserve">Active </w:t>
      </w:r>
      <w:r w:rsidR="006450B9">
        <w:rPr>
          <w:rStyle w:val="Hyperlink"/>
          <w:b/>
          <w:color w:val="auto"/>
          <w:u w:val="none"/>
        </w:rPr>
        <w:t>System S</w:t>
      </w:r>
      <w:r w:rsidR="0035274F">
        <w:rPr>
          <w:rStyle w:val="Hyperlink"/>
          <w:b/>
          <w:color w:val="auto"/>
          <w:u w:val="none"/>
        </w:rPr>
        <w:t>etup</w:t>
      </w:r>
      <w:r w:rsidR="006450B9">
        <w:rPr>
          <w:rStyle w:val="Hyperlink"/>
          <w:b/>
          <w:color w:val="auto"/>
          <w:u w:val="none"/>
        </w:rPr>
        <w:t xml:space="preserve"> C</w:t>
      </w:r>
      <w:r w:rsidR="00C65C09">
        <w:rPr>
          <w:rStyle w:val="Hyperlink"/>
          <w:b/>
          <w:color w:val="auto"/>
          <w:u w:val="none"/>
        </w:rPr>
        <w:t>hecklist</w:t>
      </w:r>
    </w:p>
    <w:p w14:paraId="49BFC009" w14:textId="1ED0C1F6" w:rsidR="00E91364" w:rsidRDefault="00F25E05" w:rsidP="00C65C09">
      <w:pPr>
        <w:pStyle w:val="ListParagraph"/>
        <w:numPr>
          <w:ilvl w:val="0"/>
          <w:numId w:val="44"/>
        </w:numPr>
        <w:spacing w:after="160" w:line="259" w:lineRule="auto"/>
      </w:pPr>
      <w:r>
        <w:t xml:space="preserve">Computer </w:t>
      </w:r>
      <w:r w:rsidR="00E91364">
        <w:t>Power supply</w:t>
      </w:r>
      <w:r>
        <w:t xml:space="preserve"> of 1500w is best</w:t>
      </w:r>
      <w:r w:rsidR="003578F9">
        <w:t xml:space="preserve">. </w:t>
      </w:r>
    </w:p>
    <w:p w14:paraId="7792C1F3" w14:textId="4D761E4E" w:rsidR="0011315D" w:rsidRDefault="003578F9" w:rsidP="003578F9">
      <w:pPr>
        <w:pStyle w:val="ListParagraph"/>
        <w:numPr>
          <w:ilvl w:val="0"/>
          <w:numId w:val="44"/>
        </w:numPr>
        <w:spacing w:after="160" w:line="259" w:lineRule="auto"/>
      </w:pPr>
      <w:r>
        <w:t xml:space="preserve">Unplug any unnecessary USB devices and drives. Use only a powered USB hub. </w:t>
      </w:r>
    </w:p>
    <w:p w14:paraId="17129D83" w14:textId="55FDD5FF" w:rsidR="00C65C09" w:rsidRDefault="003578F9" w:rsidP="006450B9">
      <w:pPr>
        <w:pStyle w:val="ListParagraph"/>
        <w:numPr>
          <w:ilvl w:val="0"/>
          <w:numId w:val="44"/>
        </w:numPr>
        <w:spacing w:after="160" w:line="259" w:lineRule="auto"/>
      </w:pPr>
      <w:r>
        <w:t xml:space="preserve">16GB </w:t>
      </w:r>
      <w:r w:rsidR="0011315D">
        <w:t>RAM</w:t>
      </w:r>
      <w:r w:rsidR="006450B9">
        <w:t xml:space="preserve"> </w:t>
      </w:r>
      <w:r>
        <w:t>is best</w:t>
      </w:r>
    </w:p>
    <w:p w14:paraId="4924A06D" w14:textId="0B117088" w:rsidR="006450B9" w:rsidRDefault="00C65C09" w:rsidP="00224CB7">
      <w:pPr>
        <w:pStyle w:val="ListParagraph"/>
        <w:numPr>
          <w:ilvl w:val="0"/>
          <w:numId w:val="44"/>
        </w:numPr>
        <w:spacing w:after="160" w:line="259" w:lineRule="auto"/>
      </w:pPr>
      <w:r>
        <w:t xml:space="preserve">Check </w:t>
      </w:r>
      <w:r w:rsidR="00172D04">
        <w:t xml:space="preserve">what type of port is on the graphics card and </w:t>
      </w:r>
      <w:r>
        <w:t>monitor</w:t>
      </w:r>
      <w:r w:rsidR="00224CB7">
        <w:t>.  They</w:t>
      </w:r>
      <w:r w:rsidR="00682CFC">
        <w:t xml:space="preserve"> will most likely be</w:t>
      </w:r>
      <w:r w:rsidR="00172D04">
        <w:t xml:space="preserve"> DVI-</w:t>
      </w:r>
      <w:r w:rsidR="00682CFC">
        <w:t xml:space="preserve">D Dual link, </w:t>
      </w:r>
      <w:r w:rsidR="00224CB7">
        <w:t>DisplayPort</w:t>
      </w:r>
      <w:r w:rsidR="00682CFC">
        <w:t>, or Mini DisplayPort</w:t>
      </w:r>
      <w:r w:rsidR="00224CB7">
        <w:t xml:space="preserve"> (see following graphics)</w:t>
      </w:r>
    </w:p>
    <w:p w14:paraId="6E62B8AD" w14:textId="1D2B4746" w:rsidR="0035274F" w:rsidRDefault="0035274F" w:rsidP="006450B9">
      <w:pPr>
        <w:pStyle w:val="ListParagraph"/>
        <w:spacing w:after="160" w:line="259" w:lineRule="auto"/>
        <w:ind w:left="1080"/>
        <w:jc w:val="center"/>
      </w:pPr>
      <w:r>
        <w:rPr>
          <w:noProof/>
        </w:rPr>
        <w:drawing>
          <wp:inline distT="0" distB="0" distL="0" distR="0" wp14:anchorId="0327F3CC" wp14:editId="08BD35DF">
            <wp:extent cx="3673927" cy="2143125"/>
            <wp:effectExtent l="0" t="0" r="3175" b="0"/>
            <wp:docPr id="1" name="Picture 1" descr="DVI 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88442" cy="2151592"/>
                    </a:xfrm>
                    <a:prstGeom prst="rect">
                      <a:avLst/>
                    </a:prstGeom>
                  </pic:spPr>
                </pic:pic>
              </a:graphicData>
            </a:graphic>
          </wp:inline>
        </w:drawing>
      </w:r>
    </w:p>
    <w:p w14:paraId="785E3968" w14:textId="77777777" w:rsidR="00224CB7" w:rsidRDefault="00224CB7" w:rsidP="00224CB7">
      <w:pPr>
        <w:ind w:left="720"/>
        <w:jc w:val="center"/>
      </w:pPr>
      <w:r>
        <w:rPr>
          <w:noProof/>
        </w:rPr>
        <w:drawing>
          <wp:inline distT="0" distB="0" distL="0" distR="0" wp14:anchorId="5CC33BCE" wp14:editId="781697C7">
            <wp:extent cx="3905250" cy="1436932"/>
            <wp:effectExtent l="0" t="0" r="0" b="0"/>
            <wp:docPr id="2" name="Picture 2" descr="Display 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24923" cy="1444171"/>
                    </a:xfrm>
                    <a:prstGeom prst="rect">
                      <a:avLst/>
                    </a:prstGeom>
                  </pic:spPr>
                </pic:pic>
              </a:graphicData>
            </a:graphic>
          </wp:inline>
        </w:drawing>
      </w:r>
    </w:p>
    <w:p w14:paraId="7729A93E" w14:textId="5D400A2C" w:rsidR="0035274F" w:rsidRPr="00224CB7" w:rsidRDefault="00682CFC" w:rsidP="00224CB7">
      <w:pPr>
        <w:pStyle w:val="ListParagraph"/>
        <w:numPr>
          <w:ilvl w:val="0"/>
          <w:numId w:val="46"/>
        </w:numPr>
        <w:rPr>
          <w:rFonts w:ascii="Calibri" w:hAnsi="Calibri"/>
        </w:rPr>
      </w:pPr>
      <w:r>
        <w:t xml:space="preserve">If the monitor and graphics card ports don’t match then </w:t>
      </w:r>
      <w:hyperlink r:id="rId19" w:history="1">
        <w:r w:rsidRPr="00682CFC">
          <w:rPr>
            <w:rStyle w:val="Hyperlink"/>
          </w:rPr>
          <w:t>you will need an adapter for the cable</w:t>
        </w:r>
      </w:hyperlink>
      <w:r>
        <w:t>.</w:t>
      </w:r>
    </w:p>
    <w:p w14:paraId="0AB2E437" w14:textId="23E06379" w:rsidR="006450B9" w:rsidRDefault="00682CFC" w:rsidP="006450B9">
      <w:pPr>
        <w:pStyle w:val="ListParagraph"/>
        <w:numPr>
          <w:ilvl w:val="0"/>
          <w:numId w:val="44"/>
        </w:numPr>
        <w:spacing w:after="160" w:line="259" w:lineRule="auto"/>
      </w:pPr>
      <w:r>
        <w:t>See</w:t>
      </w:r>
      <w:r w:rsidR="006450B9">
        <w:t xml:space="preserve"> </w:t>
      </w:r>
      <w:r w:rsidR="006450B9" w:rsidRPr="006450B9">
        <w:rPr>
          <w:b/>
        </w:rPr>
        <w:t>Appendix 1</w:t>
      </w:r>
      <w:r w:rsidR="006450B9">
        <w:t xml:space="preserve"> for required NVIDIA settings</w:t>
      </w:r>
    </w:p>
    <w:p w14:paraId="2059FB75" w14:textId="7E2A53C5" w:rsidR="006450B9" w:rsidRPr="006450B9" w:rsidRDefault="00420197" w:rsidP="006450B9">
      <w:pPr>
        <w:pStyle w:val="ListParagraph"/>
        <w:numPr>
          <w:ilvl w:val="0"/>
          <w:numId w:val="44"/>
        </w:numPr>
        <w:spacing w:after="160" w:line="259" w:lineRule="auto"/>
      </w:pPr>
      <w:r>
        <w:t xml:space="preserve">For more setup information, refer to the </w:t>
      </w:r>
      <w:hyperlink r:id="rId20" w:history="1">
        <w:r w:rsidRPr="00420197">
          <w:rPr>
            <w:rStyle w:val="Hyperlink"/>
          </w:rPr>
          <w:t>DAT/EM Configurations page</w:t>
        </w:r>
      </w:hyperlink>
    </w:p>
    <w:p w14:paraId="1B3FC8C6" w14:textId="77777777" w:rsidR="0098302E" w:rsidRPr="00C65C09" w:rsidRDefault="0098302E" w:rsidP="0098302E">
      <w:pPr>
        <w:pStyle w:val="ListParagraph"/>
        <w:ind w:left="1440"/>
        <w:rPr>
          <w:rStyle w:val="Hyperlink"/>
          <w:color w:val="1F497D"/>
          <w:u w:val="none"/>
        </w:rPr>
      </w:pPr>
    </w:p>
    <w:p w14:paraId="251573AC" w14:textId="49D20061" w:rsidR="00E749E5" w:rsidRPr="00C6589D" w:rsidRDefault="00937784" w:rsidP="008852B5">
      <w:pPr>
        <w:pStyle w:val="ListA1"/>
        <w:rPr>
          <w:rStyle w:val="Hyperlink"/>
          <w:b/>
          <w:color w:val="auto"/>
          <w:sz w:val="36"/>
          <w:u w:val="none"/>
        </w:rPr>
      </w:pPr>
      <w:r w:rsidRPr="00937784">
        <w:rPr>
          <w:rStyle w:val="Hyperlink"/>
          <w:b/>
          <w:color w:val="auto"/>
          <w:sz w:val="36"/>
          <w:u w:val="none"/>
        </w:rPr>
        <w:t>Passive</w:t>
      </w:r>
    </w:p>
    <w:p w14:paraId="528F3FD8" w14:textId="1EAD03EA" w:rsidR="00CD3F58" w:rsidRDefault="00CD3F58" w:rsidP="00CD3F58">
      <w:pPr>
        <w:pStyle w:val="Covertext"/>
        <w:jc w:val="center"/>
        <w:rPr>
          <w:rStyle w:val="Hyperlink"/>
          <w:b/>
          <w:color w:val="auto"/>
          <w:u w:val="none"/>
        </w:rPr>
      </w:pPr>
      <w:r>
        <w:rPr>
          <w:noProof/>
        </w:rPr>
        <w:lastRenderedPageBreak/>
        <w:drawing>
          <wp:inline distT="0" distB="0" distL="0" distR="0" wp14:anchorId="6E7BDA22" wp14:editId="2119FC12">
            <wp:extent cx="3514725" cy="1990725"/>
            <wp:effectExtent l="0" t="0" r="9525" b="9525"/>
            <wp:docPr id="6" name="Picture 6" descr="passive ster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14725" cy="1990725"/>
                    </a:xfrm>
                    <a:prstGeom prst="rect">
                      <a:avLst/>
                    </a:prstGeom>
                  </pic:spPr>
                </pic:pic>
              </a:graphicData>
            </a:graphic>
          </wp:inline>
        </w:drawing>
      </w:r>
    </w:p>
    <w:p w14:paraId="2C637FF8" w14:textId="4AD1CB64" w:rsidR="00E749E5" w:rsidRDefault="00E749E5" w:rsidP="00E749E5">
      <w:pPr>
        <w:pStyle w:val="Covertext"/>
        <w:rPr>
          <w:rStyle w:val="Hyperlink"/>
          <w:b/>
          <w:color w:val="auto"/>
          <w:u w:val="none"/>
        </w:rPr>
      </w:pPr>
      <w:r w:rsidRPr="00E749E5">
        <w:rPr>
          <w:rStyle w:val="Hyperlink"/>
          <w:b/>
          <w:color w:val="auto"/>
          <w:u w:val="none"/>
        </w:rPr>
        <w:t>Glasses</w:t>
      </w:r>
    </w:p>
    <w:p w14:paraId="06E1F5BA" w14:textId="5BF8F526" w:rsidR="00E749E5" w:rsidRDefault="00E749E5" w:rsidP="00E749E5">
      <w:pPr>
        <w:pStyle w:val="Covertext"/>
        <w:ind w:left="720"/>
      </w:pPr>
      <w:r>
        <w:t xml:space="preserve">A passive </w:t>
      </w:r>
      <w:r w:rsidRPr="00DC157A">
        <w:t>system</w:t>
      </w:r>
      <w:r>
        <w:t xml:space="preserve"> uses polarized glasses. E</w:t>
      </w:r>
      <w:r w:rsidRPr="00DC157A">
        <w:t>ach lens of the glasses is manufactured to allow either horizontally or vertically oriented light waves through.   The light is oriented by use of a special screen which fits in front of a CRT monitor.  This screen contains polarizing filters which projects superimposed images onto the screen.  Since the glasses do not have active components like the active shutter glasses, they tend to be lighter, and are less straining on the eyes.   The major drawback is that this method cannot be used with LCD monitors, since these monitors utilize polarization techniques in controlling the pixels on the screen.</w:t>
      </w:r>
      <w:r w:rsidR="0038122D">
        <w:t xml:space="preserve"> Glasses are included with purchase of the monitor system described below.  </w:t>
      </w:r>
    </w:p>
    <w:p w14:paraId="1E44F7C4" w14:textId="77777777" w:rsidR="00E749E5" w:rsidRDefault="00E749E5" w:rsidP="00E749E5">
      <w:pPr>
        <w:pStyle w:val="Covertext"/>
        <w:ind w:left="720"/>
      </w:pPr>
    </w:p>
    <w:p w14:paraId="56E1D5B3" w14:textId="30D0070D" w:rsidR="00E749E5" w:rsidRPr="00E749E5" w:rsidRDefault="00E749E5" w:rsidP="00E749E5">
      <w:pPr>
        <w:pStyle w:val="Covertext"/>
        <w:rPr>
          <w:b/>
        </w:rPr>
      </w:pPr>
      <w:r w:rsidRPr="00E749E5">
        <w:rPr>
          <w:b/>
        </w:rPr>
        <w:t>Monitor</w:t>
      </w:r>
    </w:p>
    <w:p w14:paraId="5CB9F10D" w14:textId="2CC031F3" w:rsidR="00D61C2B" w:rsidRDefault="00E749E5" w:rsidP="003578F9">
      <w:pPr>
        <w:pStyle w:val="Covertext"/>
        <w:ind w:left="720"/>
      </w:pPr>
      <w:r w:rsidRPr="00DC157A">
        <w:t>Stereoscopic displays utilize polarized monitors to assist the user to see in stereo. The Planar system uses a “</w:t>
      </w:r>
      <w:proofErr w:type="spellStart"/>
      <w:r w:rsidRPr="00DC157A">
        <w:t>StereoMirror</w:t>
      </w:r>
      <w:proofErr w:type="spellEnd"/>
      <w:r w:rsidRPr="00DC157A">
        <w:t>” between two monitors along with passive polarized glasses worn by the user to produce a stereo image.  This system does not r</w:t>
      </w:r>
      <w:r w:rsidR="003578F9">
        <w:t xml:space="preserve">equire the monitor to “flicker” like an active system </w:t>
      </w:r>
      <w:r w:rsidRPr="00DC157A">
        <w:t>and</w:t>
      </w:r>
      <w:r w:rsidR="003578F9">
        <w:t xml:space="preserve"> thus</w:t>
      </w:r>
      <w:r w:rsidRPr="00DC157A">
        <w:t xml:space="preserve"> is less strenuous on the eyes. It works by allowing the left eye to see only the image displayed by one monitor (the “left” image), and the right eye seeing only the “right” image. </w:t>
      </w:r>
      <w:r w:rsidR="00682CFC">
        <w:t xml:space="preserve">We </w:t>
      </w:r>
      <w:r w:rsidR="003578F9">
        <w:t xml:space="preserve">recommend </w:t>
      </w:r>
      <w:r w:rsidR="00663305">
        <w:t xml:space="preserve">the </w:t>
      </w:r>
      <w:hyperlink r:id="rId22" w:history="1">
        <w:r w:rsidR="00663305" w:rsidRPr="00663305">
          <w:rPr>
            <w:rStyle w:val="Hyperlink"/>
          </w:rPr>
          <w:t xml:space="preserve">3D </w:t>
        </w:r>
        <w:proofErr w:type="spellStart"/>
        <w:r w:rsidR="00663305" w:rsidRPr="00663305">
          <w:rPr>
            <w:rStyle w:val="Hyperlink"/>
          </w:rPr>
          <w:t>PluraView</w:t>
        </w:r>
        <w:proofErr w:type="spellEnd"/>
        <w:r w:rsidR="00663305" w:rsidRPr="00663305">
          <w:rPr>
            <w:rStyle w:val="Hyperlink"/>
          </w:rPr>
          <w:t xml:space="preserve"> system</w:t>
        </w:r>
      </w:hyperlink>
      <w:r w:rsidR="005A6108">
        <w:rPr>
          <w:rStyle w:val="Hyperlink"/>
        </w:rPr>
        <w:t xml:space="preserve"> (formerly the </w:t>
      </w:r>
      <w:proofErr w:type="gramStart"/>
      <w:r w:rsidR="005A6108">
        <w:rPr>
          <w:rStyle w:val="Hyperlink"/>
        </w:rPr>
        <w:t>Planar</w:t>
      </w:r>
      <w:proofErr w:type="gramEnd"/>
      <w:r w:rsidR="005A6108">
        <w:rPr>
          <w:rStyle w:val="Hyperlink"/>
        </w:rPr>
        <w:t xml:space="preserve"> system)</w:t>
      </w:r>
      <w:r w:rsidR="00682CFC">
        <w:t>.</w:t>
      </w:r>
    </w:p>
    <w:p w14:paraId="36CC3F82" w14:textId="77777777" w:rsidR="00D61C2B" w:rsidRDefault="00D61C2B" w:rsidP="00E749E5">
      <w:pPr>
        <w:pStyle w:val="Covertext"/>
        <w:ind w:left="720"/>
      </w:pPr>
    </w:p>
    <w:p w14:paraId="07B563F8" w14:textId="54C8CF79" w:rsidR="00D61C2B" w:rsidRPr="00D61C2B" w:rsidRDefault="00D61C2B" w:rsidP="00D61C2B">
      <w:pPr>
        <w:pStyle w:val="Covertext"/>
        <w:rPr>
          <w:b/>
        </w:rPr>
      </w:pPr>
      <w:r w:rsidRPr="00D61C2B">
        <w:rPr>
          <w:b/>
        </w:rPr>
        <w:t>Graphics Card</w:t>
      </w:r>
    </w:p>
    <w:p w14:paraId="79BC7D3D" w14:textId="2C464183" w:rsidR="006A1257" w:rsidRDefault="005A25E3">
      <w:pPr>
        <w:rPr>
          <w:rFonts w:ascii="Calibri" w:hAnsi="Calibri"/>
        </w:rPr>
      </w:pPr>
      <w:r>
        <w:t xml:space="preserve">Works with </w:t>
      </w:r>
      <w:hyperlink r:id="rId23" w:history="1">
        <w:r w:rsidRPr="00663305">
          <w:rPr>
            <w:rStyle w:val="Hyperlink"/>
          </w:rPr>
          <w:t xml:space="preserve">NVIDIA </w:t>
        </w:r>
        <w:proofErr w:type="spellStart"/>
        <w:r w:rsidRPr="00663305">
          <w:rPr>
            <w:rStyle w:val="Hyperlink"/>
          </w:rPr>
          <w:t>Quadro</w:t>
        </w:r>
        <w:proofErr w:type="spellEnd"/>
      </w:hyperlink>
      <w:r>
        <w:t xml:space="preserve"> or </w:t>
      </w:r>
      <w:hyperlink r:id="rId24" w:history="1">
        <w:r w:rsidR="005C4E92" w:rsidRPr="005C4E92">
          <w:rPr>
            <w:rStyle w:val="Hyperlink"/>
          </w:rPr>
          <w:t>AMD FirePro</w:t>
        </w:r>
      </w:hyperlink>
      <w:r w:rsidR="005C4E92">
        <w:t xml:space="preserve"> graphics cards.</w:t>
      </w:r>
      <w:r w:rsidR="006A1257">
        <w:br w:type="page"/>
      </w:r>
    </w:p>
    <w:p w14:paraId="423B2CAE" w14:textId="5F118F40" w:rsidR="00273956" w:rsidRPr="00120601" w:rsidRDefault="00096CA9" w:rsidP="00096CA9">
      <w:pPr>
        <w:pStyle w:val="ListA1"/>
        <w:numPr>
          <w:ilvl w:val="0"/>
          <w:numId w:val="0"/>
        </w:numPr>
        <w:ind w:left="360"/>
        <w:rPr>
          <w:rStyle w:val="Hyperlink"/>
          <w:b/>
          <w:color w:val="auto"/>
          <w:sz w:val="36"/>
          <w:u w:val="none"/>
        </w:rPr>
      </w:pPr>
      <w:r w:rsidRPr="00120601">
        <w:rPr>
          <w:rStyle w:val="Hyperlink"/>
          <w:b/>
          <w:color w:val="auto"/>
          <w:sz w:val="36"/>
          <w:u w:val="none"/>
        </w:rPr>
        <w:lastRenderedPageBreak/>
        <w:t>Appendix 1: NVIDIA Settings</w:t>
      </w:r>
    </w:p>
    <w:p w14:paraId="4E203D8D" w14:textId="00408E3C" w:rsidR="006A1257" w:rsidRPr="00080CD6" w:rsidRDefault="00C46D6A" w:rsidP="006A1257">
      <w:pPr>
        <w:rPr>
          <w:rFonts w:ascii="Calibri" w:hAnsi="Calibri"/>
        </w:rPr>
      </w:pPr>
      <w:r>
        <w:rPr>
          <w:rFonts w:ascii="Calibri" w:hAnsi="Calibri"/>
        </w:rPr>
        <w:t xml:space="preserve">We recommend the following NVIDIA settings for active stereo viewing. </w:t>
      </w:r>
    </w:p>
    <w:p w14:paraId="45E617D9" w14:textId="66337A8F" w:rsidR="006A1257" w:rsidRPr="0059663E" w:rsidRDefault="006A1257" w:rsidP="006A1257">
      <w:pPr>
        <w:numPr>
          <w:ilvl w:val="0"/>
          <w:numId w:val="43"/>
        </w:numPr>
        <w:contextualSpacing/>
        <w:rPr>
          <w:rFonts w:ascii="Calibri" w:hAnsi="Calibri"/>
        </w:rPr>
      </w:pPr>
      <w:r w:rsidRPr="0059663E">
        <w:rPr>
          <w:rFonts w:ascii="Calibri" w:hAnsi="Calibri"/>
          <w:noProof/>
        </w:rPr>
        <w:drawing>
          <wp:anchor distT="0" distB="0" distL="114300" distR="114300" simplePos="0" relativeHeight="251659264" behindDoc="1" locked="0" layoutInCell="1" allowOverlap="1" wp14:anchorId="25548AB6" wp14:editId="669A000A">
            <wp:simplePos x="0" y="0"/>
            <wp:positionH relativeFrom="margin">
              <wp:posOffset>2142490</wp:posOffset>
            </wp:positionH>
            <wp:positionV relativeFrom="paragraph">
              <wp:posOffset>288925</wp:posOffset>
            </wp:positionV>
            <wp:extent cx="2291080" cy="1400175"/>
            <wp:effectExtent l="19050" t="19050" r="13970" b="28575"/>
            <wp:wrapTopAndBottom/>
            <wp:docPr id="3" name="Picture 3" descr="NVIDIA Control 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monty\Desktop\Capture-000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91080" cy="1400175"/>
                    </a:xfrm>
                    <a:prstGeom prst="rect">
                      <a:avLst/>
                    </a:prstGeom>
                    <a:noFill/>
                    <a:ln w="3175">
                      <a:solidFill>
                        <a:sysClr val="windowText" lastClr="000000"/>
                      </a:solidFill>
                    </a:ln>
                  </pic:spPr>
                </pic:pic>
              </a:graphicData>
            </a:graphic>
            <wp14:sizeRelH relativeFrom="page">
              <wp14:pctWidth>0</wp14:pctWidth>
            </wp14:sizeRelH>
            <wp14:sizeRelV relativeFrom="page">
              <wp14:pctHeight>0</wp14:pctHeight>
            </wp14:sizeRelV>
          </wp:anchor>
        </w:drawing>
      </w:r>
      <w:r w:rsidRPr="0059663E">
        <w:rPr>
          <w:rFonts w:ascii="Calibri" w:hAnsi="Calibri"/>
        </w:rPr>
        <w:t xml:space="preserve">On your desktop, right-click and select </w:t>
      </w:r>
      <w:r w:rsidRPr="0059663E">
        <w:rPr>
          <w:rFonts w:ascii="Calibri" w:hAnsi="Calibri"/>
          <w:b/>
        </w:rPr>
        <w:t>NVIDIA Control Panel</w:t>
      </w:r>
      <w:r w:rsidRPr="0059663E">
        <w:rPr>
          <w:rFonts w:ascii="Calibri" w:hAnsi="Calibri"/>
        </w:rPr>
        <w:t>.</w:t>
      </w:r>
    </w:p>
    <w:p w14:paraId="272DC091" w14:textId="77777777" w:rsidR="006A1257" w:rsidRPr="0059663E" w:rsidRDefault="006A1257" w:rsidP="006A1257">
      <w:pPr>
        <w:numPr>
          <w:ilvl w:val="0"/>
          <w:numId w:val="43"/>
        </w:numPr>
        <w:contextualSpacing/>
        <w:rPr>
          <w:rFonts w:ascii="Calibri" w:hAnsi="Calibri"/>
        </w:rPr>
      </w:pPr>
      <w:r w:rsidRPr="0059663E">
        <w:rPr>
          <w:rFonts w:ascii="Calibri" w:hAnsi="Calibri"/>
        </w:rPr>
        <w:t xml:space="preserve">In the Display panel on the table of contents, click on </w:t>
      </w:r>
      <w:r w:rsidRPr="0059663E">
        <w:rPr>
          <w:rFonts w:ascii="Calibri" w:hAnsi="Calibri"/>
          <w:b/>
        </w:rPr>
        <w:t>Change Resolution</w:t>
      </w:r>
      <w:r w:rsidRPr="0059663E">
        <w:rPr>
          <w:rFonts w:ascii="Calibri" w:hAnsi="Calibri"/>
        </w:rPr>
        <w:t>.</w:t>
      </w:r>
    </w:p>
    <w:p w14:paraId="21414143" w14:textId="77777777" w:rsidR="006A1257" w:rsidRPr="0059663E" w:rsidRDefault="006A1257" w:rsidP="00D02971">
      <w:pPr>
        <w:numPr>
          <w:ilvl w:val="1"/>
          <w:numId w:val="43"/>
        </w:numPr>
        <w:contextualSpacing/>
        <w:rPr>
          <w:rFonts w:ascii="Calibri" w:hAnsi="Calibri"/>
        </w:rPr>
      </w:pPr>
      <w:r w:rsidRPr="0059663E">
        <w:rPr>
          <w:rFonts w:ascii="Calibri" w:hAnsi="Calibri"/>
        </w:rPr>
        <w:t xml:space="preserve">Select your 3D display and change the </w:t>
      </w:r>
      <w:r w:rsidRPr="0059663E">
        <w:rPr>
          <w:rFonts w:ascii="Calibri" w:hAnsi="Calibri"/>
          <w:b/>
        </w:rPr>
        <w:t>Refresh Rate</w:t>
      </w:r>
      <w:r w:rsidRPr="0059663E">
        <w:rPr>
          <w:rFonts w:ascii="Calibri" w:hAnsi="Calibri"/>
        </w:rPr>
        <w:t xml:space="preserve"> to </w:t>
      </w:r>
      <w:r w:rsidRPr="0059663E">
        <w:rPr>
          <w:rFonts w:ascii="Calibri" w:hAnsi="Calibri"/>
          <w:b/>
        </w:rPr>
        <w:t>120Hz</w:t>
      </w:r>
      <w:r w:rsidRPr="0059663E">
        <w:rPr>
          <w:rFonts w:ascii="Calibri" w:hAnsi="Calibri"/>
        </w:rPr>
        <w:t xml:space="preserve">.  </w:t>
      </w:r>
    </w:p>
    <w:p w14:paraId="4E4C33CE" w14:textId="7105E73E" w:rsidR="00080CD6" w:rsidRPr="00D02971" w:rsidRDefault="006A1257" w:rsidP="00AB54B5">
      <w:pPr>
        <w:numPr>
          <w:ilvl w:val="0"/>
          <w:numId w:val="43"/>
        </w:numPr>
        <w:spacing w:after="360"/>
        <w:contextualSpacing/>
        <w:rPr>
          <w:rFonts w:ascii="Calibri" w:hAnsi="Calibri"/>
        </w:rPr>
      </w:pPr>
      <w:r w:rsidRPr="0059663E">
        <w:rPr>
          <w:rFonts w:ascii="Calibri" w:hAnsi="Calibri"/>
        </w:rPr>
        <w:t>In the Select a task panel on the le</w:t>
      </w:r>
      <w:r w:rsidR="00067E0F">
        <w:rPr>
          <w:rFonts w:ascii="Calibri" w:hAnsi="Calibri"/>
        </w:rPr>
        <w:t>ft side of the display, click</w:t>
      </w:r>
      <w:r w:rsidRPr="0059663E">
        <w:rPr>
          <w:rFonts w:ascii="Calibri" w:hAnsi="Calibri"/>
        </w:rPr>
        <w:t xml:space="preserve"> </w:t>
      </w:r>
      <w:r w:rsidRPr="0059663E">
        <w:rPr>
          <w:rFonts w:ascii="Calibri" w:hAnsi="Calibri"/>
          <w:b/>
        </w:rPr>
        <w:t>Manage 3D Settings</w:t>
      </w:r>
      <w:r w:rsidRPr="0059663E">
        <w:rPr>
          <w:rFonts w:ascii="Calibri" w:hAnsi="Calibri"/>
        </w:rPr>
        <w:t>.</w:t>
      </w:r>
    </w:p>
    <w:p w14:paraId="19C7A68F" w14:textId="7650DE4A" w:rsidR="00B37609" w:rsidRDefault="00B37609" w:rsidP="00D02971">
      <w:pPr>
        <w:numPr>
          <w:ilvl w:val="1"/>
          <w:numId w:val="43"/>
        </w:numPr>
        <w:spacing w:before="360"/>
        <w:contextualSpacing/>
        <w:rPr>
          <w:rFonts w:ascii="Calibri" w:hAnsi="Calibri"/>
        </w:rPr>
      </w:pPr>
      <w:r>
        <w:rPr>
          <w:rFonts w:ascii="Calibri" w:hAnsi="Calibri"/>
        </w:rPr>
        <w:t>Click</w:t>
      </w:r>
      <w:r w:rsidR="006A1257" w:rsidRPr="00FC73C4">
        <w:rPr>
          <w:rFonts w:ascii="Calibri" w:hAnsi="Calibri"/>
        </w:rPr>
        <w:t xml:space="preserve"> the </w:t>
      </w:r>
      <w:r w:rsidR="00D02971">
        <w:rPr>
          <w:rFonts w:ascii="Calibri" w:hAnsi="Calibri"/>
          <w:b/>
        </w:rPr>
        <w:t>Global</w:t>
      </w:r>
      <w:r w:rsidR="006A1257" w:rsidRPr="00FC73C4">
        <w:rPr>
          <w:rFonts w:ascii="Calibri" w:hAnsi="Calibri"/>
          <w:b/>
        </w:rPr>
        <w:t xml:space="preserve"> Settings</w:t>
      </w:r>
      <w:r>
        <w:rPr>
          <w:rFonts w:ascii="Calibri" w:hAnsi="Calibri"/>
        </w:rPr>
        <w:t xml:space="preserve"> tab</w:t>
      </w:r>
    </w:p>
    <w:p w14:paraId="176CA111" w14:textId="3D6BB71B" w:rsidR="00D02971" w:rsidRPr="00C46D6A" w:rsidRDefault="00D02971" w:rsidP="00D02971">
      <w:pPr>
        <w:numPr>
          <w:ilvl w:val="1"/>
          <w:numId w:val="43"/>
        </w:numPr>
        <w:spacing w:before="360"/>
        <w:contextualSpacing/>
        <w:rPr>
          <w:rFonts w:ascii="Calibri" w:hAnsi="Calibri"/>
        </w:rPr>
      </w:pPr>
      <w:r>
        <w:rPr>
          <w:rFonts w:ascii="Calibri" w:hAnsi="Calibri"/>
        </w:rPr>
        <w:t xml:space="preserve">Set </w:t>
      </w:r>
      <w:r w:rsidRPr="00D02971">
        <w:rPr>
          <w:rFonts w:ascii="Calibri" w:hAnsi="Calibri"/>
          <w:b/>
        </w:rPr>
        <w:t>Global Presets</w:t>
      </w:r>
      <w:r>
        <w:rPr>
          <w:rFonts w:ascii="Calibri" w:hAnsi="Calibri"/>
        </w:rPr>
        <w:t xml:space="preserve"> to </w:t>
      </w:r>
      <w:r w:rsidRPr="00D02971">
        <w:rPr>
          <w:rFonts w:ascii="Calibri" w:hAnsi="Calibri"/>
          <w:b/>
        </w:rPr>
        <w:t>Base pro</w:t>
      </w:r>
      <w:bookmarkStart w:id="0" w:name="_GoBack"/>
      <w:bookmarkEnd w:id="0"/>
      <w:r w:rsidRPr="00D02971">
        <w:rPr>
          <w:rFonts w:ascii="Calibri" w:hAnsi="Calibri"/>
          <w:b/>
        </w:rPr>
        <w:t>file</w:t>
      </w:r>
    </w:p>
    <w:p w14:paraId="38E33FAF" w14:textId="72D45ED2" w:rsidR="00C46D6A" w:rsidRPr="002A7B06" w:rsidRDefault="00C46D6A" w:rsidP="00C46D6A">
      <w:pPr>
        <w:spacing w:before="360"/>
        <w:contextualSpacing/>
        <w:rPr>
          <w:rFonts w:ascii="Calibri" w:hAnsi="Calibri"/>
        </w:rPr>
      </w:pPr>
      <w:r>
        <w:rPr>
          <w:noProof/>
        </w:rPr>
        <w:drawing>
          <wp:inline distT="0" distB="0" distL="0" distR="0" wp14:anchorId="5846992C" wp14:editId="38ABB586">
            <wp:extent cx="6524090" cy="2419350"/>
            <wp:effectExtent l="19050" t="19050" r="10160" b="19050"/>
            <wp:docPr id="4" name="Picture 4" descr="manage 3D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530105" cy="2421581"/>
                    </a:xfrm>
                    <a:prstGeom prst="rect">
                      <a:avLst/>
                    </a:prstGeom>
                    <a:ln>
                      <a:solidFill>
                        <a:srgbClr val="4F81BD"/>
                      </a:solidFill>
                    </a:ln>
                  </pic:spPr>
                </pic:pic>
              </a:graphicData>
            </a:graphic>
          </wp:inline>
        </w:drawing>
      </w:r>
    </w:p>
    <w:p w14:paraId="557F919D" w14:textId="35616E3D" w:rsidR="002A7B06" w:rsidRPr="002A7B06" w:rsidRDefault="002A7B06" w:rsidP="00D02971">
      <w:pPr>
        <w:numPr>
          <w:ilvl w:val="1"/>
          <w:numId w:val="43"/>
        </w:numPr>
        <w:spacing w:before="360"/>
        <w:contextualSpacing/>
        <w:rPr>
          <w:rFonts w:ascii="Calibri" w:hAnsi="Calibri"/>
        </w:rPr>
      </w:pPr>
      <w:r w:rsidRPr="002A7B06">
        <w:rPr>
          <w:rFonts w:ascii="Calibri" w:hAnsi="Calibri"/>
        </w:rPr>
        <w:t>Click</w:t>
      </w:r>
      <w:r>
        <w:rPr>
          <w:rFonts w:ascii="Calibri" w:hAnsi="Calibri"/>
        </w:rPr>
        <w:t xml:space="preserve"> </w:t>
      </w:r>
      <w:r w:rsidRPr="002A7B06">
        <w:rPr>
          <w:rFonts w:ascii="Calibri" w:hAnsi="Calibri"/>
          <w:b/>
        </w:rPr>
        <w:t>Restore</w:t>
      </w:r>
      <w:r>
        <w:rPr>
          <w:rFonts w:ascii="Calibri" w:hAnsi="Calibri"/>
        </w:rPr>
        <w:t xml:space="preserve"> to make sure all settings are default</w:t>
      </w:r>
    </w:p>
    <w:p w14:paraId="6252E27D" w14:textId="32D7B7B7" w:rsidR="002A7B06" w:rsidRDefault="002A7B06" w:rsidP="002A7B06">
      <w:pPr>
        <w:numPr>
          <w:ilvl w:val="1"/>
          <w:numId w:val="43"/>
        </w:numPr>
        <w:spacing w:before="360"/>
        <w:contextualSpacing/>
        <w:rPr>
          <w:rFonts w:ascii="Calibri" w:hAnsi="Calibri"/>
        </w:rPr>
      </w:pPr>
      <w:r>
        <w:rPr>
          <w:rFonts w:ascii="Calibri" w:hAnsi="Calibri"/>
        </w:rPr>
        <w:t xml:space="preserve">In </w:t>
      </w:r>
      <w:r w:rsidRPr="002A7B06">
        <w:rPr>
          <w:rFonts w:ascii="Calibri" w:hAnsi="Calibri"/>
          <w:b/>
        </w:rPr>
        <w:t>S</w:t>
      </w:r>
      <w:r w:rsidR="00D02971" w:rsidRPr="002A7B06">
        <w:rPr>
          <w:rFonts w:ascii="Calibri" w:hAnsi="Calibri"/>
          <w:b/>
        </w:rPr>
        <w:t>ettings</w:t>
      </w:r>
      <w:r>
        <w:rPr>
          <w:rFonts w:ascii="Calibri" w:hAnsi="Calibri"/>
        </w:rPr>
        <w:t xml:space="preserve"> field, make the following changes:</w:t>
      </w:r>
      <w:r w:rsidR="00D02971">
        <w:rPr>
          <w:rFonts w:ascii="Calibri" w:hAnsi="Calibri"/>
        </w:rPr>
        <w:t xml:space="preserve"> </w:t>
      </w:r>
    </w:p>
    <w:p w14:paraId="685C6DE8" w14:textId="1E3A0BD1" w:rsidR="00D02971" w:rsidRPr="002A7B06" w:rsidRDefault="002A7B06" w:rsidP="002A7B06">
      <w:pPr>
        <w:numPr>
          <w:ilvl w:val="2"/>
          <w:numId w:val="43"/>
        </w:numPr>
        <w:spacing w:before="360"/>
        <w:contextualSpacing/>
        <w:rPr>
          <w:rFonts w:ascii="Calibri" w:hAnsi="Calibri"/>
        </w:rPr>
      </w:pPr>
      <w:r w:rsidRPr="002A7B06">
        <w:rPr>
          <w:rFonts w:ascii="Calibri" w:hAnsi="Calibri"/>
          <w:u w:val="single"/>
        </w:rPr>
        <w:t>Stereo – Display mode</w:t>
      </w:r>
      <w:r>
        <w:rPr>
          <w:rFonts w:ascii="Calibri" w:hAnsi="Calibri"/>
          <w:b/>
        </w:rPr>
        <w:t xml:space="preserve">:  </w:t>
      </w:r>
      <w:r w:rsidRPr="002A7B06">
        <w:rPr>
          <w:rFonts w:ascii="Calibri" w:hAnsi="Calibri"/>
          <w:b/>
        </w:rPr>
        <w:t>Generic active stereo (with NVIDIA 3D Vision)</w:t>
      </w:r>
    </w:p>
    <w:p w14:paraId="0B1B18C0" w14:textId="609B4C50" w:rsidR="002A7B06" w:rsidRPr="002A7B06" w:rsidRDefault="002A7B06" w:rsidP="002A7B06">
      <w:pPr>
        <w:numPr>
          <w:ilvl w:val="2"/>
          <w:numId w:val="43"/>
        </w:numPr>
        <w:spacing w:before="360"/>
        <w:contextualSpacing/>
        <w:rPr>
          <w:rFonts w:ascii="Calibri" w:hAnsi="Calibri"/>
        </w:rPr>
      </w:pPr>
      <w:r w:rsidRPr="002A7B06">
        <w:rPr>
          <w:rFonts w:ascii="Calibri" w:hAnsi="Calibri"/>
          <w:u w:val="single"/>
        </w:rPr>
        <w:t>Stereo – Enable</w:t>
      </w:r>
      <w:r w:rsidRPr="002A7B06">
        <w:rPr>
          <w:rFonts w:ascii="Calibri" w:hAnsi="Calibri"/>
        </w:rPr>
        <w:t xml:space="preserve">: </w:t>
      </w:r>
      <w:r w:rsidRPr="002A7B06">
        <w:rPr>
          <w:rFonts w:ascii="Calibri" w:hAnsi="Calibri"/>
          <w:b/>
        </w:rPr>
        <w:t>On</w:t>
      </w:r>
    </w:p>
    <w:p w14:paraId="40CB803D" w14:textId="44DD53EA" w:rsidR="002A7B06" w:rsidRDefault="008B28C3" w:rsidP="002A7B06">
      <w:pPr>
        <w:numPr>
          <w:ilvl w:val="2"/>
          <w:numId w:val="43"/>
        </w:numPr>
        <w:spacing w:before="360"/>
        <w:contextualSpacing/>
        <w:rPr>
          <w:rFonts w:ascii="Calibri" w:hAnsi="Calibri"/>
        </w:rPr>
      </w:pPr>
      <w:r>
        <w:rPr>
          <w:rFonts w:ascii="Calibri" w:hAnsi="Calibri"/>
        </w:rPr>
        <w:t xml:space="preserve">If you are using a </w:t>
      </w:r>
      <w:r w:rsidRPr="008B28C3">
        <w:rPr>
          <w:rFonts w:ascii="Calibri" w:hAnsi="Calibri"/>
          <w:b/>
        </w:rPr>
        <w:t>projector</w:t>
      </w:r>
      <w:r>
        <w:rPr>
          <w:rFonts w:ascii="Calibri" w:hAnsi="Calibri"/>
        </w:rPr>
        <w:t xml:space="preserve"> then turn on </w:t>
      </w:r>
      <w:r w:rsidRPr="008B28C3">
        <w:rPr>
          <w:rFonts w:ascii="Calibri" w:hAnsi="Calibri"/>
          <w:b/>
        </w:rPr>
        <w:t>Stereo – Swap eyes</w:t>
      </w:r>
      <w:r>
        <w:rPr>
          <w:rFonts w:ascii="Calibri" w:hAnsi="Calibri"/>
        </w:rPr>
        <w:t xml:space="preserve"> </w:t>
      </w:r>
    </w:p>
    <w:p w14:paraId="743B157A" w14:textId="55836DA7" w:rsidR="00D02971" w:rsidRPr="00D02971" w:rsidRDefault="00B37609" w:rsidP="00D02971">
      <w:pPr>
        <w:numPr>
          <w:ilvl w:val="0"/>
          <w:numId w:val="43"/>
        </w:numPr>
        <w:spacing w:after="360"/>
        <w:contextualSpacing/>
        <w:rPr>
          <w:rFonts w:ascii="Calibri" w:hAnsi="Calibri"/>
        </w:rPr>
      </w:pPr>
      <w:r>
        <w:rPr>
          <w:rFonts w:ascii="Calibri" w:hAnsi="Calibri"/>
        </w:rPr>
        <w:t xml:space="preserve">Click </w:t>
      </w:r>
      <w:r w:rsidRPr="00B37609">
        <w:rPr>
          <w:rFonts w:ascii="Calibri" w:hAnsi="Calibri"/>
          <w:b/>
        </w:rPr>
        <w:t>Apply</w:t>
      </w:r>
    </w:p>
    <w:sectPr w:rsidR="00D02971" w:rsidRPr="00D02971" w:rsidSect="00A912B8">
      <w:footerReference w:type="default" r:id="rId27"/>
      <w:headerReference w:type="first" r:id="rId28"/>
      <w:footerReference w:type="first" r:id="rId29"/>
      <w:type w:val="continuous"/>
      <w:pgSz w:w="12240" w:h="15840" w:code="1"/>
      <w:pgMar w:top="1440" w:right="1440" w:bottom="1440" w:left="1440" w:header="1296" w:footer="174"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C3C22A" w14:textId="77777777" w:rsidR="00CD7840" w:rsidRDefault="00CD7840" w:rsidP="00A868F9">
      <w:pPr>
        <w:spacing w:after="0"/>
      </w:pPr>
      <w:r>
        <w:separator/>
      </w:r>
    </w:p>
  </w:endnote>
  <w:endnote w:type="continuationSeparator" w:id="0">
    <w:p w14:paraId="41D20F5B" w14:textId="77777777" w:rsidR="00CD7840" w:rsidRDefault="00CD7840"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865" w:type="pct"/>
      <w:tblInd w:w="-785" w:type="dxa"/>
      <w:tblCellMar>
        <w:top w:w="72" w:type="dxa"/>
        <w:left w:w="115" w:type="dxa"/>
        <w:bottom w:w="72" w:type="dxa"/>
        <w:right w:w="115" w:type="dxa"/>
      </w:tblCellMar>
      <w:tblLook w:val="04A0" w:firstRow="1" w:lastRow="0" w:firstColumn="1" w:lastColumn="0" w:noHBand="0" w:noVBand="1"/>
    </w:tblPr>
    <w:tblGrid>
      <w:gridCol w:w="9925"/>
      <w:gridCol w:w="1054"/>
    </w:tblGrid>
    <w:tr w:rsidR="00AB4374" w14:paraId="20A47DF8" w14:textId="77777777" w:rsidTr="00A912B8">
      <w:trPr>
        <w:trHeight w:val="190"/>
      </w:trPr>
      <w:tc>
        <w:tcPr>
          <w:tcW w:w="4520" w:type="pct"/>
          <w:tcBorders>
            <w:top w:val="single" w:sz="4" w:space="0" w:color="000000" w:themeColor="text1"/>
          </w:tcBorders>
        </w:tcPr>
        <w:p w14:paraId="582585FB" w14:textId="77777777" w:rsidR="00AB4374" w:rsidRDefault="008B28C3" w:rsidP="00626D73">
          <w:pPr>
            <w:pStyle w:val="Footer"/>
            <w:spacing w:line="240" w:lineRule="auto"/>
            <w:jc w:val="right"/>
          </w:pPr>
          <w:fldSimple w:instr=" STYLEREF  Cover_Title ">
            <w:r w:rsidR="00C46D6A">
              <w:rPr>
                <w:noProof/>
              </w:rPr>
              <w:t>Hardware Requirements for Stereo Viewing</w:t>
            </w:r>
          </w:fldSimple>
          <w:r w:rsidR="00AB4374">
            <w:t xml:space="preserve">   </w:t>
          </w:r>
        </w:p>
      </w:tc>
      <w:tc>
        <w:tcPr>
          <w:tcW w:w="480" w:type="pct"/>
          <w:shd w:val="clear" w:color="auto" w:fill="000000" w:themeFill="text1"/>
        </w:tcPr>
        <w:p w14:paraId="3291DBA8" w14:textId="77777777" w:rsidR="00AB4374" w:rsidRDefault="00AB4374" w:rsidP="00AB4374">
          <w:pPr>
            <w:pStyle w:val="Header"/>
            <w:spacing w:line="240" w:lineRule="auto"/>
            <w:jc w:val="center"/>
            <w:rPr>
              <w:color w:val="FFFFFF" w:themeColor="background1"/>
            </w:rPr>
          </w:pPr>
          <w:r>
            <w:fldChar w:fldCharType="begin"/>
          </w:r>
          <w:r>
            <w:instrText xml:space="preserve"> PAGE   \* MERGEFORMAT </w:instrText>
          </w:r>
          <w:r>
            <w:fldChar w:fldCharType="separate"/>
          </w:r>
          <w:r w:rsidR="00C46D6A" w:rsidRPr="00C46D6A">
            <w:rPr>
              <w:noProof/>
              <w:color w:val="FFFFFF" w:themeColor="background1"/>
            </w:rPr>
            <w:t>6</w:t>
          </w:r>
          <w:r>
            <w:rPr>
              <w:noProof/>
              <w:color w:val="FFFFFF" w:themeColor="background1"/>
            </w:rPr>
            <w:fldChar w:fldCharType="end"/>
          </w:r>
        </w:p>
      </w:tc>
    </w:tr>
  </w:tbl>
  <w:p w14:paraId="618166F0" w14:textId="77777777" w:rsidR="00CD7840" w:rsidRPr="00AB4374" w:rsidRDefault="00CD7840" w:rsidP="00AB43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693" w:type="pct"/>
      <w:tblInd w:w="1195" w:type="dxa"/>
      <w:tblCellMar>
        <w:top w:w="72" w:type="dxa"/>
        <w:left w:w="115" w:type="dxa"/>
        <w:bottom w:w="72" w:type="dxa"/>
        <w:right w:w="115" w:type="dxa"/>
      </w:tblCellMar>
      <w:tblLook w:val="04A0" w:firstRow="1" w:lastRow="0" w:firstColumn="1" w:lastColumn="0" w:noHBand="0" w:noVBand="1"/>
    </w:tblPr>
    <w:tblGrid>
      <w:gridCol w:w="7903"/>
      <w:gridCol w:w="882"/>
    </w:tblGrid>
    <w:tr w:rsidR="00A912B8" w14:paraId="6FA7CF3A" w14:textId="77777777" w:rsidTr="00626D73">
      <w:trPr>
        <w:trHeight w:val="144"/>
      </w:trPr>
      <w:tc>
        <w:tcPr>
          <w:tcW w:w="4498" w:type="pct"/>
          <w:tcBorders>
            <w:top w:val="single" w:sz="4" w:space="0" w:color="000000" w:themeColor="text1"/>
          </w:tcBorders>
        </w:tcPr>
        <w:p w14:paraId="38EF194D" w14:textId="4264D14C" w:rsidR="00A912B8" w:rsidRPr="003034EE" w:rsidRDefault="00626D73" w:rsidP="00B476A0">
          <w:pPr>
            <w:pStyle w:val="Footer"/>
            <w:spacing w:line="240" w:lineRule="auto"/>
            <w:jc w:val="right"/>
            <w:rPr>
              <w:color w:val="595959" w:themeColor="text1" w:themeTint="A6"/>
            </w:rPr>
          </w:pPr>
          <w:r>
            <w:rPr>
              <w:noProof/>
            </w:rPr>
            <w:drawing>
              <wp:anchor distT="0" distB="0" distL="114300" distR="114300" simplePos="0" relativeHeight="251673600" behindDoc="0" locked="0" layoutInCell="1" allowOverlap="1" wp14:anchorId="1EE580ED" wp14:editId="658FD1DF">
                <wp:simplePos x="0" y="0"/>
                <wp:positionH relativeFrom="column">
                  <wp:posOffset>-1334567</wp:posOffset>
                </wp:positionH>
                <wp:positionV relativeFrom="paragraph">
                  <wp:posOffset>-262890</wp:posOffset>
                </wp:positionV>
                <wp:extent cx="1118681" cy="619547"/>
                <wp:effectExtent l="0" t="0" r="5715" b="9525"/>
                <wp:wrapNone/>
                <wp:docPr id="7" name="Picture 7" descr="Graphic of 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r w:rsidR="00854EA6">
            <w:rPr>
              <w:color w:val="595959" w:themeColor="text1" w:themeTint="A6"/>
            </w:rPr>
            <w:t xml:space="preserve"> GTAC</w:t>
          </w:r>
          <w:r w:rsidR="00A912B8" w:rsidRPr="003034EE">
            <w:rPr>
              <w:color w:val="595959" w:themeColor="text1" w:themeTint="A6"/>
            </w:rPr>
            <w:t xml:space="preserve">   |   </w:t>
          </w:r>
          <w:r w:rsidR="00A912B8" w:rsidRPr="003034EE">
            <w:rPr>
              <w:color w:val="595959" w:themeColor="text1" w:themeTint="A6"/>
            </w:rPr>
            <w:fldChar w:fldCharType="begin"/>
          </w:r>
          <w:r w:rsidR="00A912B8" w:rsidRPr="003034EE">
            <w:rPr>
              <w:color w:val="595959" w:themeColor="text1" w:themeTint="A6"/>
            </w:rPr>
            <w:instrText xml:space="preserve"> STYLEREF  Cover_Title </w:instrText>
          </w:r>
          <w:r w:rsidR="00A912B8" w:rsidRPr="003034EE">
            <w:rPr>
              <w:color w:val="595959" w:themeColor="text1" w:themeTint="A6"/>
            </w:rPr>
            <w:fldChar w:fldCharType="separate"/>
          </w:r>
          <w:r w:rsidR="00C46D6A">
            <w:rPr>
              <w:noProof/>
              <w:color w:val="595959" w:themeColor="text1" w:themeTint="A6"/>
            </w:rPr>
            <w:t>Hardware Requirements for Stereo Viewing</w:t>
          </w:r>
          <w:r w:rsidR="00A912B8" w:rsidRPr="003034EE">
            <w:rPr>
              <w:color w:val="595959" w:themeColor="text1" w:themeTint="A6"/>
            </w:rPr>
            <w:fldChar w:fldCharType="end"/>
          </w:r>
          <w:r w:rsidR="00A912B8" w:rsidRPr="003034EE">
            <w:rPr>
              <w:color w:val="595959" w:themeColor="text1" w:themeTint="A6"/>
            </w:rPr>
            <w:t xml:space="preserve">   |   </w:t>
          </w:r>
          <w:r w:rsidR="007B4F0F">
            <w:rPr>
              <w:color w:val="595959" w:themeColor="text1" w:themeTint="A6"/>
            </w:rPr>
            <w:t>January 2018</w:t>
          </w:r>
        </w:p>
      </w:tc>
      <w:tc>
        <w:tcPr>
          <w:tcW w:w="502" w:type="pct"/>
          <w:shd w:val="clear" w:color="auto" w:fill="595959" w:themeFill="text1" w:themeFillTint="A6"/>
        </w:tcPr>
        <w:p w14:paraId="47AA69C0" w14:textId="77777777" w:rsidR="00A912B8" w:rsidRPr="003034EE" w:rsidRDefault="00A912B8" w:rsidP="004D0838">
          <w:pPr>
            <w:pStyle w:val="Header"/>
            <w:spacing w:line="240" w:lineRule="auto"/>
            <w:jc w:val="center"/>
            <w:rPr>
              <w:color w:val="595959" w:themeColor="text1" w:themeTint="A6"/>
            </w:rPr>
          </w:pPr>
          <w:r w:rsidRPr="003034EE">
            <w:rPr>
              <w:color w:val="FFFFFF" w:themeColor="background1"/>
            </w:rPr>
            <w:fldChar w:fldCharType="begin"/>
          </w:r>
          <w:r w:rsidRPr="003034EE">
            <w:rPr>
              <w:color w:val="FFFFFF" w:themeColor="background1"/>
            </w:rPr>
            <w:instrText xml:space="preserve"> PAGE   \* MERGEFORMAT </w:instrText>
          </w:r>
          <w:r w:rsidRPr="003034EE">
            <w:rPr>
              <w:color w:val="FFFFFF" w:themeColor="background1"/>
            </w:rPr>
            <w:fldChar w:fldCharType="separate"/>
          </w:r>
          <w:r w:rsidR="00C46D6A">
            <w:rPr>
              <w:noProof/>
              <w:color w:val="FFFFFF" w:themeColor="background1"/>
            </w:rPr>
            <w:t>1</w:t>
          </w:r>
          <w:r w:rsidRPr="003034EE">
            <w:rPr>
              <w:noProof/>
              <w:color w:val="FFFFFF" w:themeColor="background1"/>
            </w:rPr>
            <w:fldChar w:fldCharType="end"/>
          </w:r>
        </w:p>
      </w:tc>
    </w:tr>
  </w:tbl>
  <w:p w14:paraId="13C5D42B" w14:textId="77777777" w:rsidR="00A912B8" w:rsidRPr="00A912B8" w:rsidRDefault="00A912B8" w:rsidP="00A912B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B12A59" w14:textId="77777777" w:rsidR="00CD7840" w:rsidRDefault="00CD7840" w:rsidP="00A868F9">
      <w:pPr>
        <w:spacing w:after="0"/>
      </w:pPr>
      <w:r>
        <w:separator/>
      </w:r>
    </w:p>
  </w:footnote>
  <w:footnote w:type="continuationSeparator" w:id="0">
    <w:p w14:paraId="53D04ACE" w14:textId="77777777" w:rsidR="00CD7840" w:rsidRDefault="00CD7840" w:rsidP="00A868F9">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2F7045" w14:textId="77777777" w:rsidR="00CD7840" w:rsidRPr="00FC0E27" w:rsidRDefault="00CD7840" w:rsidP="009946D2">
    <w:pPr>
      <w:pStyle w:val="Header"/>
      <w:ind w:left="-1440" w:right="-1440"/>
    </w:pPr>
    <w:r>
      <w:rPr>
        <w:noProof/>
      </w:rPr>
      <w:drawing>
        <wp:anchor distT="0" distB="0" distL="114300" distR="114300" simplePos="0" relativeHeight="251672576" behindDoc="0" locked="0" layoutInCell="1" allowOverlap="1" wp14:anchorId="7BFC055F" wp14:editId="0E66F584">
          <wp:simplePos x="0" y="0"/>
          <wp:positionH relativeFrom="column">
            <wp:posOffset>-914401</wp:posOffset>
          </wp:positionH>
          <wp:positionV relativeFrom="paragraph">
            <wp:posOffset>-822960</wp:posOffset>
          </wp:positionV>
          <wp:extent cx="7783033" cy="915504"/>
          <wp:effectExtent l="0" t="0" r="0" b="0"/>
          <wp:wrapNone/>
          <wp:docPr id="11" name="Picture 11" descr="United States Department of Agriculture logo and iso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DA_dark_grey.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873339" cy="926127"/>
                  </a:xfrm>
                  <a:prstGeom prst="rect">
                    <a:avLst/>
                  </a:prstGeom>
                </pic:spPr>
              </pic:pic>
            </a:graphicData>
          </a:graphic>
          <wp14:sizeRelH relativeFrom="page">
            <wp14:pctWidth>0</wp14:pctWidth>
          </wp14:sizeRelH>
          <wp14:sizeRelV relativeFrom="page">
            <wp14:pctHeight>0</wp14:pctHeight>
          </wp14:sizeRelV>
        </wp:anchor>
      </w:drawing>
    </w: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906B05"/>
    <w:multiLevelType w:val="multilevel"/>
    <w:tmpl w:val="503688D4"/>
    <w:numStyleLink w:val="RSACbullets"/>
  </w:abstractNum>
  <w:abstractNum w:abstractNumId="1" w15:restartNumberingAfterBreak="0">
    <w:nsid w:val="04682F12"/>
    <w:multiLevelType w:val="hybridMultilevel"/>
    <w:tmpl w:val="07CE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AE3D48"/>
    <w:multiLevelType w:val="multilevel"/>
    <w:tmpl w:val="503688D4"/>
    <w:numStyleLink w:val="RSACbullets"/>
  </w:abstractNum>
  <w:abstractNum w:abstractNumId="3" w15:restartNumberingAfterBreak="0">
    <w:nsid w:val="0FB41CBC"/>
    <w:multiLevelType w:val="hybridMultilevel"/>
    <w:tmpl w:val="935C99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C00009"/>
    <w:multiLevelType w:val="multilevel"/>
    <w:tmpl w:val="503688D4"/>
    <w:numStyleLink w:val="RSACbullets"/>
  </w:abstractNum>
  <w:abstractNum w:abstractNumId="5" w15:restartNumberingAfterBreak="0">
    <w:nsid w:val="135C6164"/>
    <w:multiLevelType w:val="multilevel"/>
    <w:tmpl w:val="D3141CB6"/>
    <w:lvl w:ilvl="0">
      <w:start w:val="1"/>
      <w:numFmt w:val="upperLetter"/>
      <w:lvlText w:val="%1."/>
      <w:lvlJc w:val="left"/>
      <w:pPr>
        <w:ind w:left="720" w:hanging="720"/>
      </w:pPr>
      <w:rPr>
        <w:rFonts w:asciiTheme="majorHAnsi" w:hAnsiTheme="majorHAnsi" w:hint="default"/>
        <w:sz w:val="28"/>
      </w:rPr>
    </w:lvl>
    <w:lvl w:ilvl="1">
      <w:start w:val="1"/>
      <w:numFmt w:val="decimal"/>
      <w:lvlText w:val="%2."/>
      <w:lvlJc w:val="left"/>
      <w:pPr>
        <w:ind w:left="1440" w:hanging="720"/>
      </w:pPr>
      <w:rPr>
        <w:rFonts w:hint="default"/>
      </w:rPr>
    </w:lvl>
    <w:lvl w:ilvl="2">
      <w:start w:val="1"/>
      <w:numFmt w:val="lowerRoman"/>
      <w:lvlText w:val="%3."/>
      <w:lvlJc w:val="left"/>
      <w:pPr>
        <w:ind w:left="2160" w:hanging="720"/>
      </w:pPr>
      <w:rPr>
        <w:rFonts w:hint="default"/>
      </w:rPr>
    </w:lvl>
    <w:lvl w:ilvl="3">
      <w:start w:val="1"/>
      <w:numFmt w:val="lowerLetter"/>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lowerRoman"/>
      <w:lvlText w:val="%6."/>
      <w:lvlJc w:val="left"/>
      <w:pPr>
        <w:ind w:left="4320" w:hanging="720"/>
      </w:pPr>
      <w:rPr>
        <w:rFonts w:hint="default"/>
      </w:rPr>
    </w:lvl>
    <w:lvl w:ilvl="6">
      <w:start w:val="1"/>
      <w:numFmt w:val="lowerLetter"/>
      <w:lvlText w:val="%7."/>
      <w:lvlJc w:val="left"/>
      <w:pPr>
        <w:tabs>
          <w:tab w:val="num" w:pos="4392"/>
        </w:tabs>
        <w:ind w:left="5040" w:hanging="720"/>
      </w:pPr>
      <w:rPr>
        <w:rFonts w:hint="default"/>
      </w:rPr>
    </w:lvl>
    <w:lvl w:ilvl="7">
      <w:start w:val="1"/>
      <w:numFmt w:val="decimal"/>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6" w15:restartNumberingAfterBreak="0">
    <w:nsid w:val="154D68F8"/>
    <w:multiLevelType w:val="hybridMultilevel"/>
    <w:tmpl w:val="99A267C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8662690"/>
    <w:multiLevelType w:val="hybridMultilevel"/>
    <w:tmpl w:val="262A8A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880705B"/>
    <w:multiLevelType w:val="hybridMultilevel"/>
    <w:tmpl w:val="BDE48D2E"/>
    <w:lvl w:ilvl="0" w:tplc="975ABB5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B1F7DC8"/>
    <w:multiLevelType w:val="hybridMultilevel"/>
    <w:tmpl w:val="6B7C0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EE19E8"/>
    <w:multiLevelType w:val="hybridMultilevel"/>
    <w:tmpl w:val="11567E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8C813F8"/>
    <w:multiLevelType w:val="multilevel"/>
    <w:tmpl w:val="503688D4"/>
    <w:numStyleLink w:val="RSACbullets"/>
  </w:abstractNum>
  <w:abstractNum w:abstractNumId="12" w15:restartNumberingAfterBreak="0">
    <w:nsid w:val="3B1C5C2D"/>
    <w:multiLevelType w:val="hybridMultilevel"/>
    <w:tmpl w:val="CA1287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65F91"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14" w15:restartNumberingAfterBreak="0">
    <w:nsid w:val="42CC40D8"/>
    <w:multiLevelType w:val="multilevel"/>
    <w:tmpl w:val="503688D4"/>
    <w:numStyleLink w:val="RSACbullets"/>
  </w:abstractNum>
  <w:abstractNum w:abstractNumId="15" w15:restartNumberingAfterBreak="0">
    <w:nsid w:val="42ED4D24"/>
    <w:multiLevelType w:val="hybridMultilevel"/>
    <w:tmpl w:val="7F30DB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44757190"/>
    <w:multiLevelType w:val="hybridMultilevel"/>
    <w:tmpl w:val="F9DAE888"/>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E32C43"/>
    <w:multiLevelType w:val="hybridMultilevel"/>
    <w:tmpl w:val="8BACF1A4"/>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70C5DB5"/>
    <w:multiLevelType w:val="multilevel"/>
    <w:tmpl w:val="503688D4"/>
    <w:numStyleLink w:val="RSACbullets"/>
  </w:abstractNum>
  <w:abstractNum w:abstractNumId="19" w15:restartNumberingAfterBreak="0">
    <w:nsid w:val="475A110B"/>
    <w:multiLevelType w:val="hybridMultilevel"/>
    <w:tmpl w:val="F9FCBDF4"/>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0" w15:restartNumberingAfterBreak="0">
    <w:nsid w:val="4BEA0641"/>
    <w:multiLevelType w:val="hybridMultilevel"/>
    <w:tmpl w:val="17D6BF62"/>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4CAF1F7F"/>
    <w:multiLevelType w:val="hybridMultilevel"/>
    <w:tmpl w:val="F3F0CAF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2" w15:restartNumberingAfterBreak="0">
    <w:nsid w:val="4EFD160B"/>
    <w:multiLevelType w:val="hybridMultilevel"/>
    <w:tmpl w:val="3FC4B76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F147B9F"/>
    <w:multiLevelType w:val="hybridMultilevel"/>
    <w:tmpl w:val="9D960C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52165B5A"/>
    <w:multiLevelType w:val="hybridMultilevel"/>
    <w:tmpl w:val="CB0C1A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531B6CFA"/>
    <w:multiLevelType w:val="multilevel"/>
    <w:tmpl w:val="503688D4"/>
    <w:numStyleLink w:val="RSACbullets"/>
  </w:abstractNum>
  <w:abstractNum w:abstractNumId="26" w15:restartNumberingAfterBreak="0">
    <w:nsid w:val="5488233E"/>
    <w:multiLevelType w:val="hybridMultilevel"/>
    <w:tmpl w:val="95EC0E0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575819C9"/>
    <w:multiLevelType w:val="multilevel"/>
    <w:tmpl w:val="503688D4"/>
    <w:numStyleLink w:val="RSACbullets"/>
  </w:abstractNum>
  <w:abstractNum w:abstractNumId="28" w15:restartNumberingAfterBreak="0">
    <w:nsid w:val="581D1E67"/>
    <w:multiLevelType w:val="multilevel"/>
    <w:tmpl w:val="503688D4"/>
    <w:numStyleLink w:val="RSACbullets"/>
  </w:abstractNum>
  <w:abstractNum w:abstractNumId="29"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9DA5061"/>
    <w:multiLevelType w:val="hybridMultilevel"/>
    <w:tmpl w:val="6BEA7B94"/>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ACD2C35"/>
    <w:multiLevelType w:val="hybridMultilevel"/>
    <w:tmpl w:val="3042A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E832321"/>
    <w:multiLevelType w:val="multilevel"/>
    <w:tmpl w:val="503688D4"/>
    <w:numStyleLink w:val="RSACbullets"/>
  </w:abstractNum>
  <w:abstractNum w:abstractNumId="33" w15:restartNumberingAfterBreak="0">
    <w:nsid w:val="5EB9209A"/>
    <w:multiLevelType w:val="multilevel"/>
    <w:tmpl w:val="503688D4"/>
    <w:numStyleLink w:val="RSACbullets"/>
  </w:abstractNum>
  <w:abstractNum w:abstractNumId="34" w15:restartNumberingAfterBreak="0">
    <w:nsid w:val="624121E9"/>
    <w:multiLevelType w:val="hybridMultilevel"/>
    <w:tmpl w:val="ADC6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56A679F"/>
    <w:multiLevelType w:val="hybridMultilevel"/>
    <w:tmpl w:val="CFC8AD64"/>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6790D6E"/>
    <w:multiLevelType w:val="hybridMultilevel"/>
    <w:tmpl w:val="1B525B3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98442CA"/>
    <w:multiLevelType w:val="hybridMultilevel"/>
    <w:tmpl w:val="FA2E80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28C28A0"/>
    <w:multiLevelType w:val="hybridMultilevel"/>
    <w:tmpl w:val="2E3650D6"/>
    <w:lvl w:ilvl="0" w:tplc="DFBCDD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73D63306"/>
    <w:multiLevelType w:val="hybridMultilevel"/>
    <w:tmpl w:val="5A9476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AA73784"/>
    <w:multiLevelType w:val="multilevel"/>
    <w:tmpl w:val="503688D4"/>
    <w:numStyleLink w:val="RSACbullets"/>
  </w:abstractNum>
  <w:abstractNum w:abstractNumId="41" w15:restartNumberingAfterBreak="0">
    <w:nsid w:val="7B801EB1"/>
    <w:multiLevelType w:val="multilevel"/>
    <w:tmpl w:val="503688D4"/>
    <w:numStyleLink w:val="RSACbullets"/>
  </w:abstractNum>
  <w:abstractNum w:abstractNumId="42" w15:restartNumberingAfterBreak="0">
    <w:nsid w:val="7D7D7CE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7E59654F"/>
    <w:multiLevelType w:val="hybridMultilevel"/>
    <w:tmpl w:val="CDF843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8"/>
  </w:num>
  <w:num w:numId="2">
    <w:abstractNumId w:val="24"/>
  </w:num>
  <w:num w:numId="3">
    <w:abstractNumId w:val="1"/>
  </w:num>
  <w:num w:numId="4">
    <w:abstractNumId w:val="15"/>
  </w:num>
  <w:num w:numId="5">
    <w:abstractNumId w:val="15"/>
  </w:num>
  <w:num w:numId="6">
    <w:abstractNumId w:val="22"/>
  </w:num>
  <w:num w:numId="7">
    <w:abstractNumId w:val="8"/>
  </w:num>
  <w:num w:numId="8">
    <w:abstractNumId w:val="23"/>
  </w:num>
  <w:num w:numId="9">
    <w:abstractNumId w:val="42"/>
  </w:num>
  <w:num w:numId="10">
    <w:abstractNumId w:val="13"/>
  </w:num>
  <w:num w:numId="11">
    <w:abstractNumId w:val="0"/>
  </w:num>
  <w:num w:numId="12">
    <w:abstractNumId w:val="5"/>
  </w:num>
  <w:num w:numId="13">
    <w:abstractNumId w:val="18"/>
  </w:num>
  <w:num w:numId="14">
    <w:abstractNumId w:val="32"/>
  </w:num>
  <w:num w:numId="15">
    <w:abstractNumId w:val="14"/>
  </w:num>
  <w:num w:numId="16">
    <w:abstractNumId w:val="2"/>
  </w:num>
  <w:num w:numId="17">
    <w:abstractNumId w:val="4"/>
  </w:num>
  <w:num w:numId="18">
    <w:abstractNumId w:val="33"/>
  </w:num>
  <w:num w:numId="19">
    <w:abstractNumId w:val="27"/>
  </w:num>
  <w:num w:numId="20">
    <w:abstractNumId w:val="28"/>
  </w:num>
  <w:num w:numId="21">
    <w:abstractNumId w:val="40"/>
  </w:num>
  <w:num w:numId="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1"/>
  </w:num>
  <w:num w:numId="24">
    <w:abstractNumId w:val="25"/>
  </w:num>
  <w:num w:numId="25">
    <w:abstractNumId w:val="11"/>
  </w:num>
  <w:num w:numId="26">
    <w:abstractNumId w:val="35"/>
  </w:num>
  <w:num w:numId="27">
    <w:abstractNumId w:val="16"/>
  </w:num>
  <w:num w:numId="28">
    <w:abstractNumId w:val="29"/>
  </w:num>
  <w:num w:numId="29">
    <w:abstractNumId w:val="31"/>
  </w:num>
  <w:num w:numId="30">
    <w:abstractNumId w:val="34"/>
  </w:num>
  <w:num w:numId="31">
    <w:abstractNumId w:val="7"/>
  </w:num>
  <w:num w:numId="32">
    <w:abstractNumId w:val="43"/>
  </w:num>
  <w:num w:numId="33">
    <w:abstractNumId w:val="26"/>
  </w:num>
  <w:num w:numId="34">
    <w:abstractNumId w:val="39"/>
  </w:num>
  <w:num w:numId="35">
    <w:abstractNumId w:val="21"/>
  </w:num>
  <w:num w:numId="36">
    <w:abstractNumId w:val="10"/>
  </w:num>
  <w:num w:numId="37">
    <w:abstractNumId w:val="6"/>
  </w:num>
  <w:num w:numId="38">
    <w:abstractNumId w:val="19"/>
  </w:num>
  <w:num w:numId="39">
    <w:abstractNumId w:val="36"/>
  </w:num>
  <w:num w:numId="40">
    <w:abstractNumId w:val="17"/>
  </w:num>
  <w:num w:numId="41">
    <w:abstractNumId w:val="12"/>
  </w:num>
  <w:num w:numId="42">
    <w:abstractNumId w:val="3"/>
  </w:num>
  <w:num w:numId="43">
    <w:abstractNumId w:val="37"/>
  </w:num>
  <w:num w:numId="44">
    <w:abstractNumId w:val="30"/>
  </w:num>
  <w:num w:numId="45">
    <w:abstractNumId w:val="9"/>
  </w:num>
  <w:num w:numId="4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819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68F9"/>
    <w:rsid w:val="00017CC0"/>
    <w:rsid w:val="000333CA"/>
    <w:rsid w:val="0003685D"/>
    <w:rsid w:val="00037D2C"/>
    <w:rsid w:val="000556EA"/>
    <w:rsid w:val="00060280"/>
    <w:rsid w:val="00067E0F"/>
    <w:rsid w:val="00076DA5"/>
    <w:rsid w:val="00080CD6"/>
    <w:rsid w:val="0008214D"/>
    <w:rsid w:val="00083352"/>
    <w:rsid w:val="00095FA9"/>
    <w:rsid w:val="0009620E"/>
    <w:rsid w:val="00096CA9"/>
    <w:rsid w:val="00097E02"/>
    <w:rsid w:val="000D5E09"/>
    <w:rsid w:val="000F679C"/>
    <w:rsid w:val="000F7566"/>
    <w:rsid w:val="00100D77"/>
    <w:rsid w:val="0011315D"/>
    <w:rsid w:val="00120601"/>
    <w:rsid w:val="00127DFC"/>
    <w:rsid w:val="00131209"/>
    <w:rsid w:val="0014050D"/>
    <w:rsid w:val="001413D3"/>
    <w:rsid w:val="001421B2"/>
    <w:rsid w:val="001443EF"/>
    <w:rsid w:val="00154176"/>
    <w:rsid w:val="001657A1"/>
    <w:rsid w:val="00171585"/>
    <w:rsid w:val="00172D04"/>
    <w:rsid w:val="00177907"/>
    <w:rsid w:val="00197A49"/>
    <w:rsid w:val="001C727B"/>
    <w:rsid w:val="001D10A4"/>
    <w:rsid w:val="001D70D4"/>
    <w:rsid w:val="001E1F14"/>
    <w:rsid w:val="001E2D24"/>
    <w:rsid w:val="001E50EC"/>
    <w:rsid w:val="002166E8"/>
    <w:rsid w:val="00224CB7"/>
    <w:rsid w:val="00240994"/>
    <w:rsid w:val="00243369"/>
    <w:rsid w:val="00250B9C"/>
    <w:rsid w:val="00260F1E"/>
    <w:rsid w:val="002731C6"/>
    <w:rsid w:val="00273956"/>
    <w:rsid w:val="00282A96"/>
    <w:rsid w:val="002903EC"/>
    <w:rsid w:val="002A10C4"/>
    <w:rsid w:val="002A5B6C"/>
    <w:rsid w:val="002A5E88"/>
    <w:rsid w:val="002A77C9"/>
    <w:rsid w:val="002A7B06"/>
    <w:rsid w:val="002D7127"/>
    <w:rsid w:val="002D7E67"/>
    <w:rsid w:val="002E2406"/>
    <w:rsid w:val="002E37C3"/>
    <w:rsid w:val="002E7815"/>
    <w:rsid w:val="003034EE"/>
    <w:rsid w:val="003110DC"/>
    <w:rsid w:val="00326507"/>
    <w:rsid w:val="0034510A"/>
    <w:rsid w:val="0035274F"/>
    <w:rsid w:val="00352858"/>
    <w:rsid w:val="003578B7"/>
    <w:rsid w:val="003578F9"/>
    <w:rsid w:val="0037407A"/>
    <w:rsid w:val="003766BA"/>
    <w:rsid w:val="00376D08"/>
    <w:rsid w:val="0038122D"/>
    <w:rsid w:val="003868A0"/>
    <w:rsid w:val="003872B2"/>
    <w:rsid w:val="00396C5D"/>
    <w:rsid w:val="0039724E"/>
    <w:rsid w:val="003C1990"/>
    <w:rsid w:val="003C2F14"/>
    <w:rsid w:val="003C6643"/>
    <w:rsid w:val="003E25D2"/>
    <w:rsid w:val="003E5463"/>
    <w:rsid w:val="003F0C78"/>
    <w:rsid w:val="003F4DDE"/>
    <w:rsid w:val="003F6098"/>
    <w:rsid w:val="00404905"/>
    <w:rsid w:val="00412BFA"/>
    <w:rsid w:val="004138B2"/>
    <w:rsid w:val="00415521"/>
    <w:rsid w:val="0041740F"/>
    <w:rsid w:val="00420197"/>
    <w:rsid w:val="00422406"/>
    <w:rsid w:val="0043054B"/>
    <w:rsid w:val="004307AE"/>
    <w:rsid w:val="0045349B"/>
    <w:rsid w:val="004671EC"/>
    <w:rsid w:val="0047200C"/>
    <w:rsid w:val="004840D9"/>
    <w:rsid w:val="004950AA"/>
    <w:rsid w:val="004A26B2"/>
    <w:rsid w:val="004A3B17"/>
    <w:rsid w:val="004A4BE6"/>
    <w:rsid w:val="004B1AA3"/>
    <w:rsid w:val="004B1BC2"/>
    <w:rsid w:val="004C46A2"/>
    <w:rsid w:val="004C7A0A"/>
    <w:rsid w:val="004D0C3D"/>
    <w:rsid w:val="004D18A3"/>
    <w:rsid w:val="004F383A"/>
    <w:rsid w:val="00506F5A"/>
    <w:rsid w:val="00544E7B"/>
    <w:rsid w:val="00547AD8"/>
    <w:rsid w:val="0056352C"/>
    <w:rsid w:val="005736BB"/>
    <w:rsid w:val="005820D5"/>
    <w:rsid w:val="005852F5"/>
    <w:rsid w:val="00591933"/>
    <w:rsid w:val="0059663E"/>
    <w:rsid w:val="005A25E3"/>
    <w:rsid w:val="005A6108"/>
    <w:rsid w:val="005B3C3E"/>
    <w:rsid w:val="005C1A01"/>
    <w:rsid w:val="005C4B1D"/>
    <w:rsid w:val="005C4E92"/>
    <w:rsid w:val="005E5CCE"/>
    <w:rsid w:val="005F2B19"/>
    <w:rsid w:val="005F5163"/>
    <w:rsid w:val="00604BD4"/>
    <w:rsid w:val="006068E9"/>
    <w:rsid w:val="00606C5B"/>
    <w:rsid w:val="00620041"/>
    <w:rsid w:val="00626D73"/>
    <w:rsid w:val="00633C1F"/>
    <w:rsid w:val="00634F68"/>
    <w:rsid w:val="00641D3F"/>
    <w:rsid w:val="006450B9"/>
    <w:rsid w:val="00646294"/>
    <w:rsid w:val="006516A8"/>
    <w:rsid w:val="006546D4"/>
    <w:rsid w:val="00660E36"/>
    <w:rsid w:val="00661065"/>
    <w:rsid w:val="00663305"/>
    <w:rsid w:val="00674748"/>
    <w:rsid w:val="00675DA0"/>
    <w:rsid w:val="00682CFC"/>
    <w:rsid w:val="006836EE"/>
    <w:rsid w:val="00692952"/>
    <w:rsid w:val="006A1257"/>
    <w:rsid w:val="006A4D4D"/>
    <w:rsid w:val="006E712C"/>
    <w:rsid w:val="007019F2"/>
    <w:rsid w:val="00717739"/>
    <w:rsid w:val="00722B81"/>
    <w:rsid w:val="00731473"/>
    <w:rsid w:val="0073727C"/>
    <w:rsid w:val="00745BBE"/>
    <w:rsid w:val="00761805"/>
    <w:rsid w:val="007826F9"/>
    <w:rsid w:val="00790AD6"/>
    <w:rsid w:val="007A4128"/>
    <w:rsid w:val="007B4EEB"/>
    <w:rsid w:val="007B4F0F"/>
    <w:rsid w:val="007B62D0"/>
    <w:rsid w:val="007C322D"/>
    <w:rsid w:val="007C4DC3"/>
    <w:rsid w:val="007D2AEC"/>
    <w:rsid w:val="007D7FD2"/>
    <w:rsid w:val="007F2523"/>
    <w:rsid w:val="007F5837"/>
    <w:rsid w:val="00800ADC"/>
    <w:rsid w:val="00802246"/>
    <w:rsid w:val="00824367"/>
    <w:rsid w:val="008342EE"/>
    <w:rsid w:val="00837FAA"/>
    <w:rsid w:val="008448FE"/>
    <w:rsid w:val="00851F6C"/>
    <w:rsid w:val="00854EA6"/>
    <w:rsid w:val="00864286"/>
    <w:rsid w:val="00866D3B"/>
    <w:rsid w:val="008725AB"/>
    <w:rsid w:val="008852B5"/>
    <w:rsid w:val="00886AB0"/>
    <w:rsid w:val="00887B0D"/>
    <w:rsid w:val="008916BF"/>
    <w:rsid w:val="008B28C3"/>
    <w:rsid w:val="008B64B5"/>
    <w:rsid w:val="008C74FA"/>
    <w:rsid w:val="008E1349"/>
    <w:rsid w:val="008E13E3"/>
    <w:rsid w:val="00900DF2"/>
    <w:rsid w:val="009074E8"/>
    <w:rsid w:val="00910792"/>
    <w:rsid w:val="0092062E"/>
    <w:rsid w:val="009302F2"/>
    <w:rsid w:val="00937784"/>
    <w:rsid w:val="00940C37"/>
    <w:rsid w:val="009421B5"/>
    <w:rsid w:val="00943931"/>
    <w:rsid w:val="009454C2"/>
    <w:rsid w:val="00947C49"/>
    <w:rsid w:val="00955EDE"/>
    <w:rsid w:val="00967C2D"/>
    <w:rsid w:val="00972221"/>
    <w:rsid w:val="00975450"/>
    <w:rsid w:val="00975C55"/>
    <w:rsid w:val="00981802"/>
    <w:rsid w:val="0098302E"/>
    <w:rsid w:val="009844EF"/>
    <w:rsid w:val="009914A7"/>
    <w:rsid w:val="009946D2"/>
    <w:rsid w:val="009B1D78"/>
    <w:rsid w:val="009D2199"/>
    <w:rsid w:val="009D21AB"/>
    <w:rsid w:val="009F0EE0"/>
    <w:rsid w:val="009F6D57"/>
    <w:rsid w:val="009F7287"/>
    <w:rsid w:val="00A211E8"/>
    <w:rsid w:val="00A34250"/>
    <w:rsid w:val="00A56C63"/>
    <w:rsid w:val="00A63C78"/>
    <w:rsid w:val="00A76724"/>
    <w:rsid w:val="00A868F9"/>
    <w:rsid w:val="00A912B8"/>
    <w:rsid w:val="00A9161E"/>
    <w:rsid w:val="00A91B97"/>
    <w:rsid w:val="00A951B2"/>
    <w:rsid w:val="00AA4AEC"/>
    <w:rsid w:val="00AB3224"/>
    <w:rsid w:val="00AB4374"/>
    <w:rsid w:val="00AB54B5"/>
    <w:rsid w:val="00AB62AE"/>
    <w:rsid w:val="00AC060D"/>
    <w:rsid w:val="00AD1C65"/>
    <w:rsid w:val="00AE434F"/>
    <w:rsid w:val="00B034A8"/>
    <w:rsid w:val="00B30D6A"/>
    <w:rsid w:val="00B37609"/>
    <w:rsid w:val="00B476A0"/>
    <w:rsid w:val="00B511BB"/>
    <w:rsid w:val="00B64FD0"/>
    <w:rsid w:val="00B72E47"/>
    <w:rsid w:val="00B82156"/>
    <w:rsid w:val="00B821E7"/>
    <w:rsid w:val="00BA03ED"/>
    <w:rsid w:val="00BA4597"/>
    <w:rsid w:val="00BC2DF7"/>
    <w:rsid w:val="00BC739D"/>
    <w:rsid w:val="00BD0506"/>
    <w:rsid w:val="00BE7550"/>
    <w:rsid w:val="00BF3F19"/>
    <w:rsid w:val="00BF6E52"/>
    <w:rsid w:val="00C0219C"/>
    <w:rsid w:val="00C25966"/>
    <w:rsid w:val="00C44312"/>
    <w:rsid w:val="00C46D6A"/>
    <w:rsid w:val="00C54310"/>
    <w:rsid w:val="00C5494F"/>
    <w:rsid w:val="00C6589D"/>
    <w:rsid w:val="00C65C09"/>
    <w:rsid w:val="00C70DA9"/>
    <w:rsid w:val="00C7720C"/>
    <w:rsid w:val="00C93ADF"/>
    <w:rsid w:val="00C941EE"/>
    <w:rsid w:val="00CA70BF"/>
    <w:rsid w:val="00CB623A"/>
    <w:rsid w:val="00CB65BE"/>
    <w:rsid w:val="00CC5732"/>
    <w:rsid w:val="00CD06D2"/>
    <w:rsid w:val="00CD3F58"/>
    <w:rsid w:val="00CD7840"/>
    <w:rsid w:val="00CF14E2"/>
    <w:rsid w:val="00CF6BFF"/>
    <w:rsid w:val="00D02971"/>
    <w:rsid w:val="00D07569"/>
    <w:rsid w:val="00D13F89"/>
    <w:rsid w:val="00D30F4F"/>
    <w:rsid w:val="00D41941"/>
    <w:rsid w:val="00D43981"/>
    <w:rsid w:val="00D57556"/>
    <w:rsid w:val="00D61C2B"/>
    <w:rsid w:val="00D74D29"/>
    <w:rsid w:val="00D8063D"/>
    <w:rsid w:val="00DA33D0"/>
    <w:rsid w:val="00DC157A"/>
    <w:rsid w:val="00DC4045"/>
    <w:rsid w:val="00DC470C"/>
    <w:rsid w:val="00E05502"/>
    <w:rsid w:val="00E122D5"/>
    <w:rsid w:val="00E2353A"/>
    <w:rsid w:val="00E27B88"/>
    <w:rsid w:val="00E73943"/>
    <w:rsid w:val="00E749E5"/>
    <w:rsid w:val="00E7691D"/>
    <w:rsid w:val="00E810D5"/>
    <w:rsid w:val="00E91364"/>
    <w:rsid w:val="00EA061D"/>
    <w:rsid w:val="00EB23C0"/>
    <w:rsid w:val="00EB28BD"/>
    <w:rsid w:val="00EC798C"/>
    <w:rsid w:val="00ED1A22"/>
    <w:rsid w:val="00ED5703"/>
    <w:rsid w:val="00EE3A96"/>
    <w:rsid w:val="00F01004"/>
    <w:rsid w:val="00F05387"/>
    <w:rsid w:val="00F05B33"/>
    <w:rsid w:val="00F07B7C"/>
    <w:rsid w:val="00F109E1"/>
    <w:rsid w:val="00F23806"/>
    <w:rsid w:val="00F25E05"/>
    <w:rsid w:val="00F270C8"/>
    <w:rsid w:val="00F36B35"/>
    <w:rsid w:val="00F40117"/>
    <w:rsid w:val="00F42F1B"/>
    <w:rsid w:val="00F50D8E"/>
    <w:rsid w:val="00F6116B"/>
    <w:rsid w:val="00F7479A"/>
    <w:rsid w:val="00F75A55"/>
    <w:rsid w:val="00F9194F"/>
    <w:rsid w:val="00FA408C"/>
    <w:rsid w:val="00FB6C78"/>
    <w:rsid w:val="00FC0E27"/>
    <w:rsid w:val="00FC2429"/>
    <w:rsid w:val="00FC73C4"/>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21"/>
    <o:shapelayout v:ext="edit">
      <o:idmap v:ext="edit" data="1"/>
    </o:shapelayout>
  </w:shapeDefaults>
  <w:decimalSymbol w:val="."/>
  <w:listSeparator w:val=","/>
  <w14:docId w14:val="366B65EA"/>
  <w15:docId w15:val="{EA561F24-2DF5-4A74-8B62-53632D1980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C4045"/>
  </w:style>
  <w:style w:type="paragraph" w:styleId="Heading1">
    <w:name w:val="heading 1"/>
    <w:basedOn w:val="Normal"/>
    <w:next w:val="Normal"/>
    <w:link w:val="Heading1Char"/>
    <w:uiPriority w:val="9"/>
    <w:qFormat/>
    <w:rsid w:val="00DC40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C40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65F91"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65F91"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character" w:customStyle="1" w:styleId="Heading1Char">
    <w:name w:val="Heading 1 Char"/>
    <w:basedOn w:val="DefaultParagraphFont"/>
    <w:link w:val="Heading1"/>
    <w:uiPriority w:val="9"/>
    <w:rsid w:val="00DC4045"/>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0000FF"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Level1">
    <w:name w:val="Level 1"/>
    <w:rsid w:val="006068E9"/>
    <w:pPr>
      <w:numPr>
        <w:numId w:val="25"/>
      </w:numPr>
      <w:spacing w:before="240" w:after="60" w:line="240" w:lineRule="auto"/>
      <w:outlineLvl w:val="2"/>
    </w:pPr>
    <w:rPr>
      <w:rFonts w:asciiTheme="majorHAnsi" w:eastAsiaTheme="majorEastAsia" w:hAnsiTheme="majorHAnsi" w:cstheme="majorBidi"/>
      <w:b/>
      <w:bCs/>
      <w:color w:val="365F91"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4F81BD" w:themeColor="accent1"/>
      </w:pBdr>
      <w:spacing w:after="180" w:line="264" w:lineRule="auto"/>
      <w:jc w:val="right"/>
    </w:pPr>
    <w:rPr>
      <w:rFonts w:cs="Times New Roman"/>
      <w:color w:val="1F497D"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0"/>
      </w:numPr>
    </w:pPr>
  </w:style>
  <w:style w:type="paragraph" w:styleId="TOC2">
    <w:name w:val="toc 2"/>
    <w:basedOn w:val="Normal"/>
    <w:next w:val="Normal"/>
    <w:autoRedefine/>
    <w:uiPriority w:val="39"/>
    <w:semiHidden/>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DC404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4F81BD" w:themeColor="accent1"/>
      <w:sz w:val="18"/>
      <w:szCs w:val="18"/>
    </w:rPr>
  </w:style>
  <w:style w:type="paragraph" w:styleId="Title">
    <w:name w:val="Title"/>
    <w:basedOn w:val="Normal"/>
    <w:next w:val="Normal"/>
    <w:link w:val="TitleChar"/>
    <w:uiPriority w:val="10"/>
    <w:qFormat/>
    <w:rsid w:val="00DC404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DC4045"/>
    <w:rPr>
      <w:b/>
      <w:bCs/>
      <w:i/>
      <w:iCs/>
      <w:color w:val="4F81BD"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4F81BD" w:themeColor="accent1"/>
    </w:rPr>
  </w:style>
  <w:style w:type="character" w:styleId="SubtleReference">
    <w:name w:val="Subtle Reference"/>
    <w:basedOn w:val="DefaultParagraphFont"/>
    <w:uiPriority w:val="31"/>
    <w:qFormat/>
    <w:rsid w:val="00DC4045"/>
    <w:rPr>
      <w:smallCaps/>
      <w:color w:val="C0504D" w:themeColor="accent2"/>
      <w:u w:val="single"/>
    </w:rPr>
  </w:style>
  <w:style w:type="character" w:styleId="IntenseReference">
    <w:name w:val="Intense Reference"/>
    <w:basedOn w:val="DefaultParagraphFont"/>
    <w:uiPriority w:val="32"/>
    <w:qFormat/>
    <w:rsid w:val="00DC4045"/>
    <w:rPr>
      <w:b/>
      <w:bCs/>
      <w:smallCaps/>
      <w:color w:val="C0504D"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9844EF"/>
    <w:pPr>
      <w:numPr>
        <w:numId w:val="28"/>
      </w:numPr>
      <w:pBdr>
        <w:bottom w:val="single" w:sz="4" w:space="1" w:color="auto"/>
      </w:pBdr>
      <w:spacing w:before="240" w:line="240" w:lineRule="auto"/>
      <w:outlineLvl w:val="0"/>
    </w:pPr>
    <w:rPr>
      <w:rFonts w:asciiTheme="majorHAnsi" w:hAnsiTheme="majorHAnsi"/>
      <w:color w:val="244061" w:themeColor="accent1" w:themeShade="80"/>
      <w:sz w:val="40"/>
    </w:rPr>
  </w:style>
  <w:style w:type="paragraph" w:customStyle="1" w:styleId="ListA2">
    <w:name w:val="List_A2"/>
    <w:basedOn w:val="NoSpacing"/>
    <w:link w:val="ListA2Char"/>
    <w:qFormat/>
    <w:rsid w:val="009844EF"/>
    <w:pPr>
      <w:numPr>
        <w:ilvl w:val="1"/>
        <w:numId w:val="28"/>
      </w:numPr>
      <w:spacing w:before="120" w:after="60"/>
      <w:outlineLvl w:val="1"/>
    </w:pPr>
    <w:rPr>
      <w:rFonts w:asciiTheme="majorHAnsi" w:hAnsiTheme="majorHAnsi"/>
      <w:b/>
      <w:color w:val="365F91" w:themeColor="accent1" w:themeShade="BF"/>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9844EF"/>
    <w:rPr>
      <w:rFonts w:asciiTheme="majorHAnsi" w:hAnsiTheme="majorHAnsi"/>
      <w:color w:val="244061" w:themeColor="accent1" w:themeShade="80"/>
      <w:sz w:val="40"/>
    </w:rPr>
  </w:style>
  <w:style w:type="paragraph" w:customStyle="1" w:styleId="ListA3">
    <w:name w:val="List_A3"/>
    <w:basedOn w:val="NoSpacing"/>
    <w:link w:val="ListA3Char"/>
    <w:qFormat/>
    <w:rsid w:val="00717739"/>
    <w:pPr>
      <w:numPr>
        <w:ilvl w:val="2"/>
        <w:numId w:val="28"/>
      </w:numPr>
      <w:spacing w:before="60" w:after="60"/>
      <w:outlineLvl w:val="2"/>
    </w:pPr>
    <w:rPr>
      <w:color w:val="000000" w:themeColor="text1"/>
    </w:rPr>
  </w:style>
  <w:style w:type="character" w:customStyle="1" w:styleId="ListA2Char">
    <w:name w:val="List_A2 Char"/>
    <w:basedOn w:val="NoSpacingChar"/>
    <w:link w:val="ListA2"/>
    <w:rsid w:val="009844EF"/>
    <w:rPr>
      <w:rFonts w:asciiTheme="majorHAnsi" w:hAnsiTheme="majorHAnsi"/>
      <w:b/>
      <w:color w:val="365F91" w:themeColor="accent1" w:themeShade="BF"/>
      <w:sz w:val="28"/>
    </w:rPr>
  </w:style>
  <w:style w:type="paragraph" w:customStyle="1" w:styleId="ListA4">
    <w:name w:val="List_A4"/>
    <w:basedOn w:val="NoSpacing"/>
    <w:link w:val="ListA4Char"/>
    <w:qFormat/>
    <w:rsid w:val="00717739"/>
    <w:pPr>
      <w:numPr>
        <w:ilvl w:val="3"/>
        <w:numId w:val="28"/>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28"/>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ListA5"/>
    <w:link w:val="RSACNoteChar"/>
    <w:qFormat/>
    <w:rsid w:val="009302F2"/>
    <w:pPr>
      <w:numPr>
        <w:ilvl w:val="0"/>
        <w:numId w:val="0"/>
      </w:numPr>
      <w:pBdr>
        <w:top w:val="single" w:sz="18" w:space="1" w:color="auto"/>
        <w:left w:val="single" w:sz="18" w:space="4" w:color="auto"/>
        <w:bottom w:val="single" w:sz="18" w:space="1" w:color="auto"/>
        <w:right w:val="single" w:sz="18" w:space="4" w:color="auto"/>
      </w:pBdr>
      <w:shd w:val="clear" w:color="auto" w:fill="DCFFC5"/>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9302F2"/>
    <w:rPr>
      <w:i/>
      <w:color w:val="000000" w:themeColor="text1"/>
      <w:shd w:val="clear" w:color="auto" w:fill="DCFFC5"/>
    </w:rPr>
  </w:style>
  <w:style w:type="character" w:styleId="FollowedHyperlink">
    <w:name w:val="FollowedHyperlink"/>
    <w:basedOn w:val="DefaultParagraphFont"/>
    <w:uiPriority w:val="99"/>
    <w:semiHidden/>
    <w:unhideWhenUsed/>
    <w:rsid w:val="000D5E09"/>
    <w:rPr>
      <w:color w:val="800080" w:themeColor="followedHyperlink"/>
      <w:u w:val="single"/>
    </w:rPr>
  </w:style>
  <w:style w:type="paragraph" w:customStyle="1" w:styleId="RSACcongrats">
    <w:name w:val="RSAC_congrats"/>
    <w:basedOn w:val="Normal"/>
    <w:link w:val="RSACcongratsChar"/>
    <w:qFormat/>
    <w:rsid w:val="008B64B5"/>
    <w:pPr>
      <w:pBdr>
        <w:top w:val="double" w:sz="4" w:space="1" w:color="auto"/>
        <w:left w:val="double" w:sz="4" w:space="4" w:color="auto"/>
        <w:bottom w:val="double" w:sz="4" w:space="1" w:color="auto"/>
        <w:right w:val="double" w:sz="4" w:space="4" w:color="auto"/>
      </w:pBdr>
      <w:shd w:val="clear" w:color="auto" w:fill="DBE5F1" w:themeFill="accent1" w:themeFillTint="33"/>
      <w:spacing w:before="120" w:after="120" w:line="240" w:lineRule="auto"/>
    </w:pPr>
    <w:rPr>
      <w:sz w:val="24"/>
    </w:rPr>
  </w:style>
  <w:style w:type="paragraph" w:customStyle="1" w:styleId="CoverTitle">
    <w:name w:val="Cover_Title"/>
    <w:basedOn w:val="Normal"/>
    <w:link w:val="CoverTitleChar"/>
    <w:qFormat/>
    <w:rsid w:val="008C74FA"/>
    <w:pPr>
      <w:pBdr>
        <w:top w:val="threeDEngrave" w:sz="18" w:space="1" w:color="244061" w:themeColor="accent1" w:themeShade="80"/>
        <w:left w:val="threeDEngrave" w:sz="18" w:space="12" w:color="244061" w:themeColor="accent1" w:themeShade="80"/>
        <w:bottom w:val="threeDEmboss" w:sz="18" w:space="1" w:color="244061" w:themeColor="accent1" w:themeShade="80"/>
        <w:right w:val="threeDEmboss" w:sz="18" w:space="4" w:color="244061" w:themeColor="accent1" w:themeShade="80"/>
      </w:pBdr>
      <w:shd w:val="clear" w:color="auto" w:fill="D9D9D9" w:themeFill="background1" w:themeFillShade="D9"/>
      <w:spacing w:before="120" w:after="0" w:line="240" w:lineRule="auto"/>
      <w:jc w:val="center"/>
      <w:outlineLvl w:val="0"/>
    </w:pPr>
    <w:rPr>
      <w:rFonts w:asciiTheme="majorHAnsi" w:hAnsiTheme="majorHAnsi"/>
      <w:b/>
      <w:color w:val="244061" w:themeColor="accent1" w:themeShade="80"/>
      <w:sz w:val="56"/>
      <w:szCs w:val="64"/>
    </w:rPr>
  </w:style>
  <w:style w:type="character" w:customStyle="1" w:styleId="RSACcongratsChar">
    <w:name w:val="RSAC_congrats Char"/>
    <w:basedOn w:val="DefaultParagraphFont"/>
    <w:link w:val="RSACcongrats"/>
    <w:rsid w:val="008B64B5"/>
    <w:rPr>
      <w:sz w:val="24"/>
      <w:shd w:val="clear" w:color="auto" w:fill="DBE5F1" w:themeFill="accent1" w:themeFillTint="33"/>
    </w:rPr>
  </w:style>
  <w:style w:type="character" w:customStyle="1" w:styleId="CoverTitleChar">
    <w:name w:val="Cover_Title Char"/>
    <w:basedOn w:val="DefaultParagraphFont"/>
    <w:link w:val="CoverTitle"/>
    <w:rsid w:val="008C74FA"/>
    <w:rPr>
      <w:rFonts w:asciiTheme="majorHAnsi" w:hAnsiTheme="majorHAnsi"/>
      <w:b/>
      <w:color w:val="244061" w:themeColor="accent1" w:themeShade="80"/>
      <w:sz w:val="56"/>
      <w:szCs w:val="64"/>
      <w:shd w:val="clear" w:color="auto" w:fill="D9D9D9" w:themeFill="background1" w:themeFillShade="D9"/>
    </w:rPr>
  </w:style>
  <w:style w:type="paragraph" w:customStyle="1" w:styleId="CoverHeader">
    <w:name w:val="Cover_Header"/>
    <w:link w:val="CoverHeaderChar"/>
    <w:qFormat/>
    <w:rsid w:val="00E810D5"/>
    <w:pPr>
      <w:shd w:val="clear" w:color="auto" w:fill="FFFFFF" w:themeFill="background1"/>
      <w:spacing w:before="240" w:after="60"/>
    </w:pPr>
    <w:rPr>
      <w:b/>
      <w:sz w:val="28"/>
      <w:szCs w:val="28"/>
    </w:rPr>
  </w:style>
  <w:style w:type="paragraph" w:customStyle="1" w:styleId="Covertext">
    <w:name w:val="Cover_text"/>
    <w:link w:val="CovertextChar"/>
    <w:qFormat/>
    <w:rsid w:val="00E810D5"/>
    <w:pPr>
      <w:shd w:val="clear" w:color="auto" w:fill="FFFFFF" w:themeFill="background1"/>
      <w:spacing w:before="60" w:after="60" w:line="240" w:lineRule="auto"/>
    </w:pPr>
    <w:rPr>
      <w:rFonts w:ascii="Calibri" w:hAnsi="Calibri"/>
    </w:rPr>
  </w:style>
  <w:style w:type="character" w:customStyle="1" w:styleId="CoverHeaderChar">
    <w:name w:val="Cover_Header Char"/>
    <w:basedOn w:val="DefaultParagraphFont"/>
    <w:link w:val="CoverHeader"/>
    <w:rsid w:val="00E810D5"/>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810D5"/>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8121">
      <w:bodyDiv w:val="1"/>
      <w:marLeft w:val="0"/>
      <w:marRight w:val="0"/>
      <w:marTop w:val="0"/>
      <w:marBottom w:val="0"/>
      <w:divBdr>
        <w:top w:val="none" w:sz="0" w:space="0" w:color="auto"/>
        <w:left w:val="none" w:sz="0" w:space="0" w:color="auto"/>
        <w:bottom w:val="none" w:sz="0" w:space="0" w:color="auto"/>
        <w:right w:val="none" w:sz="0" w:space="0" w:color="auto"/>
      </w:divBdr>
    </w:div>
    <w:div w:id="30375390">
      <w:bodyDiv w:val="1"/>
      <w:marLeft w:val="0"/>
      <w:marRight w:val="0"/>
      <w:marTop w:val="0"/>
      <w:marBottom w:val="0"/>
      <w:divBdr>
        <w:top w:val="none" w:sz="0" w:space="0" w:color="auto"/>
        <w:left w:val="none" w:sz="0" w:space="0" w:color="auto"/>
        <w:bottom w:val="none" w:sz="0" w:space="0" w:color="auto"/>
        <w:right w:val="none" w:sz="0" w:space="0" w:color="auto"/>
      </w:divBdr>
    </w:div>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10633488">
      <w:bodyDiv w:val="1"/>
      <w:marLeft w:val="0"/>
      <w:marRight w:val="0"/>
      <w:marTop w:val="0"/>
      <w:marBottom w:val="0"/>
      <w:divBdr>
        <w:top w:val="none" w:sz="0" w:space="0" w:color="auto"/>
        <w:left w:val="none" w:sz="0" w:space="0" w:color="auto"/>
        <w:bottom w:val="none" w:sz="0" w:space="0" w:color="auto"/>
        <w:right w:val="none" w:sz="0" w:space="0" w:color="auto"/>
      </w:divBdr>
    </w:div>
    <w:div w:id="12983277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44554181">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2262059">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873276867">
      <w:bodyDiv w:val="1"/>
      <w:marLeft w:val="0"/>
      <w:marRight w:val="0"/>
      <w:marTop w:val="0"/>
      <w:marBottom w:val="0"/>
      <w:divBdr>
        <w:top w:val="none" w:sz="0" w:space="0" w:color="auto"/>
        <w:left w:val="none" w:sz="0" w:space="0" w:color="auto"/>
        <w:bottom w:val="none" w:sz="0" w:space="0" w:color="auto"/>
        <w:right w:val="none" w:sz="0" w:space="0" w:color="auto"/>
      </w:divBdr>
    </w:div>
    <w:div w:id="907426308">
      <w:bodyDiv w:val="1"/>
      <w:marLeft w:val="0"/>
      <w:marRight w:val="0"/>
      <w:marTop w:val="0"/>
      <w:marBottom w:val="0"/>
      <w:divBdr>
        <w:top w:val="none" w:sz="0" w:space="0" w:color="auto"/>
        <w:left w:val="none" w:sz="0" w:space="0" w:color="auto"/>
        <w:bottom w:val="none" w:sz="0" w:space="0" w:color="auto"/>
        <w:right w:val="none" w:sz="0" w:space="0" w:color="auto"/>
      </w:divBdr>
    </w:div>
    <w:div w:id="992681056">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045835111">
      <w:bodyDiv w:val="1"/>
      <w:marLeft w:val="0"/>
      <w:marRight w:val="0"/>
      <w:marTop w:val="0"/>
      <w:marBottom w:val="0"/>
      <w:divBdr>
        <w:top w:val="none" w:sz="0" w:space="0" w:color="auto"/>
        <w:left w:val="none" w:sz="0" w:space="0" w:color="auto"/>
        <w:bottom w:val="none" w:sz="0" w:space="0" w:color="auto"/>
        <w:right w:val="none" w:sz="0" w:space="0" w:color="auto"/>
      </w:divBdr>
    </w:div>
    <w:div w:id="1045907339">
      <w:bodyDiv w:val="1"/>
      <w:marLeft w:val="0"/>
      <w:marRight w:val="0"/>
      <w:marTop w:val="0"/>
      <w:marBottom w:val="0"/>
      <w:divBdr>
        <w:top w:val="none" w:sz="0" w:space="0" w:color="auto"/>
        <w:left w:val="none" w:sz="0" w:space="0" w:color="auto"/>
        <w:bottom w:val="none" w:sz="0" w:space="0" w:color="auto"/>
        <w:right w:val="none" w:sz="0" w:space="0" w:color="auto"/>
      </w:divBdr>
    </w:div>
    <w:div w:id="1048993749">
      <w:bodyDiv w:val="1"/>
      <w:marLeft w:val="0"/>
      <w:marRight w:val="0"/>
      <w:marTop w:val="0"/>
      <w:marBottom w:val="0"/>
      <w:divBdr>
        <w:top w:val="none" w:sz="0" w:space="0" w:color="auto"/>
        <w:left w:val="none" w:sz="0" w:space="0" w:color="auto"/>
        <w:bottom w:val="none" w:sz="0" w:space="0" w:color="auto"/>
        <w:right w:val="none" w:sz="0" w:space="0" w:color="auto"/>
      </w:divBdr>
    </w:div>
    <w:div w:id="1222251344">
      <w:bodyDiv w:val="1"/>
      <w:marLeft w:val="0"/>
      <w:marRight w:val="0"/>
      <w:marTop w:val="0"/>
      <w:marBottom w:val="0"/>
      <w:divBdr>
        <w:top w:val="none" w:sz="0" w:space="0" w:color="auto"/>
        <w:left w:val="none" w:sz="0" w:space="0" w:color="auto"/>
        <w:bottom w:val="none" w:sz="0" w:space="0" w:color="auto"/>
        <w:right w:val="none" w:sz="0" w:space="0" w:color="auto"/>
      </w:divBdr>
    </w:div>
    <w:div w:id="1252662070">
      <w:bodyDiv w:val="1"/>
      <w:marLeft w:val="0"/>
      <w:marRight w:val="0"/>
      <w:marTop w:val="0"/>
      <w:marBottom w:val="0"/>
      <w:divBdr>
        <w:top w:val="none" w:sz="0" w:space="0" w:color="auto"/>
        <w:left w:val="none" w:sz="0" w:space="0" w:color="auto"/>
        <w:bottom w:val="none" w:sz="0" w:space="0" w:color="auto"/>
        <w:right w:val="none" w:sz="0" w:space="0" w:color="auto"/>
      </w:divBdr>
    </w:div>
    <w:div w:id="1286425902">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12964904">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1524395204">
      <w:bodyDiv w:val="1"/>
      <w:marLeft w:val="0"/>
      <w:marRight w:val="0"/>
      <w:marTop w:val="0"/>
      <w:marBottom w:val="0"/>
      <w:divBdr>
        <w:top w:val="none" w:sz="0" w:space="0" w:color="auto"/>
        <w:left w:val="none" w:sz="0" w:space="0" w:color="auto"/>
        <w:bottom w:val="none" w:sz="0" w:space="0" w:color="auto"/>
        <w:right w:val="none" w:sz="0" w:space="0" w:color="auto"/>
      </w:divBdr>
    </w:div>
    <w:div w:id="1626502120">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www.acer.com" TargetMode="External"/><Relationship Id="rId18" Type="http://schemas.openxmlformats.org/officeDocument/2006/relationships/image" Target="media/image4.png"/><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www.asus.com/us" TargetMode="External"/><Relationship Id="rId17" Type="http://schemas.openxmlformats.org/officeDocument/2006/relationships/image" Target="media/image3.png"/><Relationship Id="rId25"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yperlink" Target="https://www.nvidia.com/en-us/design-visualization/quadro-desktop-gpus/" TargetMode="External"/><Relationship Id="rId20" Type="http://schemas.openxmlformats.org/officeDocument/2006/relationships/hyperlink" Target="http://www.datem.com/configurations/"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vidia.com/object/3d-vision-system-requirements.html" TargetMode="External"/><Relationship Id="rId24" Type="http://schemas.openxmlformats.org/officeDocument/2006/relationships/hyperlink" Target="http://www.amd.com/en-us/solutions/professional/workstations?utm_campaign=www.amd.com_en-us_solutions_workstations&amp;utm_medium=redirect&amp;utm_source=301" TargetMode="External"/><Relationship Id="rId5" Type="http://schemas.openxmlformats.org/officeDocument/2006/relationships/webSettings" Target="webSettings.xml"/><Relationship Id="rId15" Type="http://schemas.openxmlformats.org/officeDocument/2006/relationships/hyperlink" Target="http://www.alienware.com" TargetMode="External"/><Relationship Id="rId23" Type="http://schemas.openxmlformats.org/officeDocument/2006/relationships/hyperlink" Target="https://www.nvidia.com/en-us/design-visualization/quadro-desktop-gpus/" TargetMode="External"/><Relationship Id="rId28" Type="http://schemas.openxmlformats.org/officeDocument/2006/relationships/header" Target="header1.xml"/><Relationship Id="rId10" Type="http://schemas.openxmlformats.org/officeDocument/2006/relationships/hyperlink" Target="http://www.nvidia.com/object/3d-vision-glasses.html" TargetMode="External"/><Relationship Id="rId19" Type="http://schemas.openxmlformats.org/officeDocument/2006/relationships/hyperlink" Target="http://www.datem.com/clarification-to-march-tech-tip-mini-display-port-vs-display-port/"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www.sony.com" TargetMode="External"/><Relationship Id="rId22" Type="http://schemas.openxmlformats.org/officeDocument/2006/relationships/hyperlink" Target="http://www.datem.com/3d-displays/3d-pluraview/" TargetMode="External"/><Relationship Id="rId27" Type="http://schemas.openxmlformats.org/officeDocument/2006/relationships/footer" Target="foot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665C66-E52B-4CAF-BB93-709C01753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2814</TotalTime>
  <Pages>6</Pages>
  <Words>1552</Words>
  <Characters>7792</Characters>
  <Application>Microsoft Office Word</Application>
  <DocSecurity>0</DocSecurity>
  <Lines>169</Lines>
  <Paragraphs>91</Paragraphs>
  <ScaleCrop>false</ScaleCrop>
  <HeadingPairs>
    <vt:vector size="2" baseType="variant">
      <vt:variant>
        <vt:lpstr>Title</vt:lpstr>
      </vt:variant>
      <vt:variant>
        <vt:i4>1</vt:i4>
      </vt:variant>
    </vt:vector>
  </HeadingPairs>
  <TitlesOfParts>
    <vt:vector size="1" baseType="lpstr">
      <vt:lpstr>Exercise 1: Feature Mapping</vt:lpstr>
    </vt:vector>
  </TitlesOfParts>
  <Company>USDA Forest Service</Company>
  <LinksUpToDate>false</LinksUpToDate>
  <CharactersWithSpaces>9253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1: Feature Mapping</dc:title>
  <dc:subject>Remote Sensing Exercise</dc:subject>
  <dc:creator>USDA Forest Service;jwebb02@fs.fed.us</dc:creator>
  <cp:lastModifiedBy>Hammond, Mark - FS, SALT LAKE CITY, UT</cp:lastModifiedBy>
  <cp:revision>23</cp:revision>
  <cp:lastPrinted>2014-10-30T17:10:00Z</cp:lastPrinted>
  <dcterms:created xsi:type="dcterms:W3CDTF">2018-01-27T02:02:00Z</dcterms:created>
  <dcterms:modified xsi:type="dcterms:W3CDTF">2018-03-13T15:45:00Z</dcterms:modified>
</cp:coreProperties>
</file>